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8756421a" w14:textId="8756421a">
      <w:pPr>
        <w15:collapsed w:val="false"/>
      </w:pPr>
    </w:p>
    <w:p>
      <w:pPr>
        <w:pStyle w:val="Heading1"/>
        <w:jc w:val="center"/>
        <w:rPr>
          <w:rFonts w:ascii="Calibri" w:hAnsi="Calibri"/>
          <w:color w:val="auto"/>
          <w:sz w:val="32"/>
          <w:szCs w:val="32"/>
        </w:rPr>
      </w:pPr>
      <w:r>
        <w:rPr>
          <w:rFonts w:ascii="Calibri" w:hAnsi="Calibri"/>
          <w:color w:val="auto"/>
          <w:sz w:val="32"/>
          <w:szCs w:val="32"/>
        </w:rPr>
        <w:t xml:space="preserve">Executive Summary </w:t>
      </w:r>
    </w:p>
    <w:p>
      <w:pPr>
        <w:pStyle w:val="Heading2"/>
        <w:rPr>
          <w:rFonts w:ascii="Calibri" w:hAnsi="Calibri"/>
          <w:i w:val="false"/>
        </w:rPr>
      </w:pPr>
      <w:r>
        <w:rPr>
          <w:rFonts w:ascii="Calibri" w:hAnsi="Calibri"/>
          <w:i w:val="false"/>
        </w:rPr>
        <w:t>AP-05 Executive Summary - 91.200(c), 91.220(b)</w:t>
      </w:r>
    </w:p>
    <w:p>
      <w:pPr>
        <w:rPr>
          <w:b/>
          <w:sz w:val="24"/>
          <w:szCs w:val="24"/>
        </w:rPr>
      </w:pPr>
      <w:r>
        <w:rPr>
          <w:b/>
          <w:sz w:val="24"/>
          <w:szCs w:val="24"/>
        </w:rPr>
        <w:t>1.</w:t>
        <w:tab/>
        <w:t>Introduction</w:t>
      </w:r>
    </w:p>
    <w:p>
      <w:pPr>
        <w:rPr>
          <w:b/>
          <w:sz w:val="24"/>
          <w:szCs w:val="24"/>
        </w:rPr>
      </w:pPr>
      <w:r>
        <w:rPr>
          <w:b/>
          <w:sz w:val="24"/>
          <w:szCs w:val="24"/>
        </w:rPr>
        <w:t>2.</w:t>
        <w:tab/>
        <w:t xml:space="preserve">Summarize the objectives and outcomes identified in the Plan  </w:t>
      </w:r>
    </w:p>
    <w:p>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rPr>
          <w:b/>
          <w:sz w:val="24"/>
          <w:szCs w:val="24"/>
        </w:rPr>
      </w:pPr>
      <w:r>
        <w:rPr>
          <w:b/>
          <w:sz w:val="24"/>
          <w:szCs w:val="24"/>
        </w:rPr>
        <w:t>3.</w:t>
        <w:tab/>
        <w:t xml:space="preserve">Evaluation of past performance </w:t>
      </w:r>
    </w:p>
    <w:p>
      <w:pPr>
        <w:rPr>
          <w:b/>
          <w:sz w:val="24"/>
          <w:szCs w:val="24"/>
        </w:rPr>
      </w:pPr>
      <w:r>
        <w:rPr>
          <w:sz w:val="24"/>
          <w:szCs w:val="24"/>
        </w:rPr>
        <w:t>This is an evaluation of past performance that helped lead the grantee to choose its goals or projects.</w:t>
      </w:r>
    </w:p>
    <w:p>
      <w:pPr>
        <w:rPr>
          <w:b/>
          <w:sz w:val="24"/>
          <w:szCs w:val="24"/>
        </w:rPr>
      </w:pPr>
      <w:r>
        <w:rPr>
          <w:b/>
          <w:sz w:val="24"/>
          <w:szCs w:val="24"/>
        </w:rPr>
        <w:t>4.</w:t>
        <w:tab/>
        <w:t xml:space="preserve">Summary of Citizen Participation Process and consultation process </w:t>
      </w:r>
    </w:p>
    <w:p>
      <w:pPr>
        <w:rPr>
          <w:b/>
          <w:sz w:val="24"/>
          <w:szCs w:val="24"/>
        </w:rPr>
      </w:pPr>
      <w:r>
        <w:rPr>
          <w:sz w:val="24"/>
          <w:szCs w:val="24"/>
        </w:rPr>
        <w:t>Summary from citizen participation section of plan.</w:t>
      </w:r>
    </w:p>
    <w:p>
      <w:pPr>
        <w:rPr>
          <w:b/>
          <w:sz w:val="24"/>
          <w:szCs w:val="24"/>
        </w:rPr>
      </w:pPr>
      <w:r>
        <w:rPr>
          <w:b/>
          <w:sz w:val="24"/>
          <w:szCs w:val="24"/>
        </w:rPr>
        <w:t>5.</w:t>
        <w:tab/>
        <w:t>Summary of public comments</w:t>
      </w:r>
    </w:p>
    <w:p>
      <w:pPr>
        <w:rPr>
          <w:sz w:val="24"/>
          <w:szCs w:val="24"/>
        </w:rPr>
      </w:pPr>
      <w:r>
        <w:rPr>
          <w:sz w:val="24"/>
          <w:szCs w:val="24"/>
        </w:rPr>
        <w:t>This could be a brief narrative summary or reference an attached document from the Citizen Participation section of the Con Plan.</w:t>
      </w:r>
    </w:p>
    <w:p>
      <w:pPr>
        <w:rPr>
          <w:b/>
          <w:sz w:val="24"/>
          <w:szCs w:val="24"/>
        </w:rPr>
      </w:pPr>
      <w:r>
        <w:rPr>
          <w:b/>
          <w:sz w:val="24"/>
          <w:szCs w:val="24"/>
        </w:rPr>
        <w:t>6.</w:t>
        <w:tab/>
        <w:t>Summary of comments or views not accepted and the reasons for not accepting them</w:t>
      </w:r>
    </w:p>
    <w:p>
      <w:pPr>
        <w:rPr>
          <w:b/>
          <w:sz w:val="24"/>
          <w:szCs w:val="24"/>
        </w:rPr>
      </w:pPr>
      <w:r>
        <w:rPr>
          <w:b/>
          <w:sz w:val="24"/>
          <w:szCs w:val="24"/>
        </w:rPr>
        <w:t>7.</w:t>
        <w:tab/>
        <w:t>Summary</w:t>
      </w:r>
    </w:p>
    <w:p>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code="1"/>
          <w:pgMar w:top="1440" w:right="1440" w:bottom="1440" w:left="1440" w:header="720" w:footer="720" w:gutter="0"/>
          <w:cols w:space="720"/>
          <w:docGrid w:linePitch="360"/>
        </w:sectPr>
      </w:pPr>
    </w:p>
    <w:p>
      <w:pPr>
        <w:pStyle w:val="Heading2"/>
        <w:pageBreakBefore/>
        <w:rPr>
          <w:rFonts w:ascii="Calibri" w:hAnsi="Calibri"/>
          <w:i w:val="false"/>
        </w:rPr>
      </w:pPr>
      <w:r>
        <w:rPr>
          <w:rFonts w:ascii="Calibri" w:hAnsi="Calibri"/>
          <w:i w:val="false"/>
        </w:rPr>
        <w:t>PR-05 Lead &amp; Responsible Agencies - 91.200(b)</w:t>
      </w:r>
    </w:p>
    <w:p>
      <w:pPr>
        <w:keepNext/>
        <w:rPr>
          <w:b/>
          <w:sz w:val="24"/>
          <w:szCs w:val="24"/>
        </w:rPr>
      </w:pPr>
      <w:r>
        <w:rPr>
          <w:b/>
          <w:sz w:val="24"/>
          <w:szCs w:val="24"/>
        </w:rPr>
        <w:t>1.</w:t>
        <w:tab/>
        <w:t>Agency/entity responsible for preparing/administering the Consolidated Plan</w:t>
      </w:r>
    </w:p>
    <w:p>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Agency Role</w:t>
            </w:r>
          </w:p>
        </w:tc>
        <w:tc>
          <w:tcPr>
            <w:tcW w:w="3192" w:type="dxa"/>
          </w:tcPr>
          <w:p>
            <w:pPr>
              <w:keepNext/>
              <w:widowControl w:val="false"/>
              <w:spacing w:after="0" w:line="240" w:lineRule="auto"/>
              <w:jc w:val="center"/>
              <w:rPr>
                <w:b/>
                <w:bCs/>
              </w:rPr>
            </w:pPr>
            <w:r>
              <w:rPr>
                <w:b/>
                <w:bCs/>
              </w:rPr>
              <w:t>Name</w:t>
            </w:r>
          </w:p>
        </w:tc>
        <w:tc>
          <w:tcPr>
            <w:tcW w:w="3192" w:type="dxa"/>
          </w:tcPr>
          <w:p>
            <w:pPr>
              <w:keepNext/>
              <w:widowControl w:val="false"/>
              <w:spacing w:after="0" w:line="240" w:lineRule="auto"/>
              <w:jc w:val="center"/>
              <w:rPr>
                <w:b/>
                <w:bCs/>
              </w:rPr>
            </w:pPr>
            <w:r>
              <w:rPr>
                <w:b/>
                <w:bCs/>
              </w:rPr>
              <w:t>Department/Agency</w:t>
            </w:r>
          </w:p>
        </w:tc>
      </w:tr>
      <w:tr>
        <w:trPr>
          <w:cantSplit/>
          <w:tblHeader/>
        </w:trPr>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r>
    </w:tbl>
    <w:p>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hidden/>
        </w:trPr>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HHS/Community &amp; Home Improvement Division</w:t>
            </w:r>
          </w:p>
        </w:tc>
      </w:tr>
      <w:tr>
        <w:trPr>
          <w:cantSplit w:val="true"/>
        </w:trPr>
        <w:tc>
          <w:tcPr>
            <w:vAlign w:val="top"/>
          </w:tcPr>
          <w:p>
            <w:pPr>
              <w:spacing w:beforeAutospacing="true" w:afterAutospacing="true"/>
              <w:jc w:val="left"/>
            </w:pPr>
            <w:r>
              <w:rPr>
                <w:rFonts w:ascii="Calibri" w:hAnsi="Calibri"/>
                <w:color w:val="000000"/>
                <w:sz w:val="22"/>
              </w:rPr>
              <w:t xml:space="preserve">HOME Administrator</w:t>
            </w:r>
          </w:p>
        </w:tc>
        <w:tc>
          <w:tcPr>
            <w:vAlign w:val="top"/>
          </w:tcPr>
          <w:p>
            <w:pPr>
              <w:spacing w:beforeAutospacing="true" w:afterAutospacing="true"/>
              <w:jc w:val="left"/>
            </w:pP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HHS/Community &amp; Home Improvement Division</w:t>
            </w:r>
          </w:p>
        </w:tc>
      </w:tr>
      <w:tr>
        <w:trPr>
          <w:cantSplit w:val="true"/>
        </w:trPr>
        <w:tc>
          <w:tcPr>
            <w:vAlign w:val="top"/>
          </w:tcPr>
          <w:p>
            <w:pPr>
              <w:spacing w:beforeAutospacing="true" w:afterAutospacing="true"/>
              <w:jc w:val="left"/>
            </w:pPr>
            <w:r>
              <w:rPr>
                <w:rFonts w:ascii="Calibri" w:hAnsi="Calibri"/>
                <w:color w:val="000000"/>
                <w:sz w:val="22"/>
              </w:rPr>
              <w:t xml:space="preserve">ESG Administrator</w:t>
            </w:r>
          </w:p>
        </w:tc>
        <w:tc>
          <w:tcPr>
            <w:vAlign w:val="top"/>
          </w:tcPr>
          <w:p>
            <w:pPr>
              <w:spacing w:beforeAutospacing="true" w:afterAutospacing="true"/>
              <w:jc w:val="left"/>
            </w:pP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HHS/Community &amp; Home Improvement Division</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pPr>
        <w:spacing w:after="0" w:line="240" w:lineRule="auto"/>
        <w:rPr>
          <w:b/>
          <w:sz w:val="24"/>
          <w:szCs w:val="24"/>
        </w:rPr>
      </w:pPr>
    </w:p>
    <w:p>
      <w:pPr>
        <w:rPr>
          <w:b/>
          <w:sz w:val="24"/>
          <w:szCs w:val="24"/>
        </w:rPr>
      </w:pPr>
      <w:r>
        <w:rPr>
          <w:b/>
          <w:sz w:val="24"/>
          <w:szCs w:val="24"/>
        </w:rPr>
        <w:t>Narrative</w:t>
      </w:r>
    </w:p>
    <w:p>
      <w:pPr>
        <w:rPr>
          <w:b/>
          <w:sz w:val="24"/>
          <w:szCs w:val="24"/>
        </w:rPr>
      </w:pPr>
      <w:r>
        <w:rPr>
          <w:b/>
          <w:sz w:val="24"/>
          <w:szCs w:val="24"/>
        </w:rPr>
        <w:t>Consolidated Plan Public Contact Information</w:t>
      </w:r>
    </w:p>
    <w:p>
      <w:pPr>
        <w:spacing w:after="0" w:line="240" w:lineRule="auto"/>
        <w:rPr>
          <w:rFonts w:cs="Arial"/>
        </w:rPr>
      </w:pPr>
      <w:r>
        <w:rPr>
          <w:rFonts w:cs="Arial"/>
        </w:rPr>
        <w:br w:type="page"/>
      </w:r>
    </w:p>
    <w:p>
      <w:pPr>
        <w:pStyle w:val="Heading2"/>
        <w:keepNext w:val="false"/>
        <w:pageBreakBefore/>
        <w:widowControl w:val="false"/>
        <w:rPr>
          <w:rFonts w:ascii="Calibri" w:hAnsi="Calibri"/>
          <w:i w:val="false"/>
        </w:rPr>
        <w:sectPr>
          <w:pgSz w:w="15840" w:h="12240" w:orient="landscape" w:code="1"/>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AP-10 Consultation - 91.100, 91.200(b), 91.215(l)</w:t>
      </w:r>
    </w:p>
    <w:p>
      <w:pPr>
        <w:rPr>
          <w:b/>
          <w:sz w:val="24"/>
          <w:szCs w:val="24"/>
        </w:rPr>
      </w:pPr>
      <w:r>
        <w:rPr>
          <w:b/>
          <w:sz w:val="24"/>
          <w:szCs w:val="24"/>
        </w:rPr>
        <w:t>1.</w:t>
        <w:tab/>
        <w:t>Introduction</w:t>
      </w:r>
    </w:p>
    <w:p>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pPr>
        <w:rPr>
          <w:b/>
          <w:sz w:val="24"/>
          <w:szCs w:val="24"/>
        </w:rPr>
      </w:pPr>
      <w:r>
        <w:rPr>
          <w:b/>
          <w:sz w:val="24"/>
          <w:szCs w:val="24"/>
        </w:rPr>
        <w:t>2.</w:t>
        <w:tab/>
        <w:t>Agencies, groups, organizations and others who participated in the process and consultations</w:t>
      </w:r>
    </w:p>
    <w:p>
      <w:pPr>
        <w:keepNext/>
        <w:widowControl w:val="false"/>
        <w:spacing w:after="0" w:line="240" w:lineRule="auto"/>
        <w:rPr>
          <w:b/>
          <w:bCs/>
        </w:rPr>
        <w:sectPr>
          <w:pgSz w:w="12240" w:h="15840" w:code="1"/>
          <w:pgMar w:top="1440" w:right="1440" w:bottom="1440" w:left="1440" w:header="720" w:footer="720" w:gutter="0"/>
          <w:cols w:space="720"/>
          <w:docGrid w:linePitch="360"/>
        </w:sectPr>
      </w:pPr>
    </w:p>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p/>
    <w:p>
      <w:pPr>
        <w:rPr>
          <w:b/>
          <w:sz w:val="24"/>
          <w:szCs w:val="24"/>
        </w:rPr>
      </w:pPr>
      <w:r>
        <w:rPr>
          <w:b/>
          <w:sz w:val="24"/>
          <w:szCs w:val="24"/>
        </w:rPr>
        <w:t>Identify any Agency Types not consulted and provide rationale for not consulting</w:t>
      </w:r>
    </w:p>
    <w:p>
      <w:pPr>
        <w:rPr>
          <w:rFonts w:cs="Arial"/>
        </w:rPr>
      </w:pPr>
    </w:p>
    <w:p>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Name of Plan</w:t>
            </w:r>
          </w:p>
        </w:tc>
        <w:tc>
          <w:tcPr>
            <w:tcW w:w="3192" w:type="dxa"/>
          </w:tcPr>
          <w:p>
            <w:pPr>
              <w:spacing w:after="0" w:line="240" w:lineRule="auto"/>
              <w:jc w:val="center"/>
              <w:rPr>
                <w:b/>
                <w:bCs/>
              </w:rPr>
            </w:pPr>
            <w:r>
              <w:rPr>
                <w:b/>
                <w:bCs/>
              </w:rPr>
              <w:t>Lead Organization</w:t>
            </w:r>
          </w:p>
        </w:tc>
        <w:tc>
          <w:tcPr>
            <w:tcW w:w="3192" w:type="dxa"/>
          </w:tcPr>
          <w:p>
            <w:pPr>
              <w:keepNext/>
              <w:widowControl w:val="false"/>
              <w:spacing w:after="0" w:line="240" w:lineRule="auto"/>
              <w:jc w:val="center"/>
              <w:rPr>
                <w:b/>
                <w:bCs/>
              </w:rPr>
            </w:pPr>
            <w:r>
              <w:rPr>
                <w:b/>
                <w:bCs/>
              </w:rPr>
              <w:t>How do the goals of your Strategic Plan overlap with the goals of each plan?</w:t>
            </w:r>
          </w:p>
        </w:tc>
      </w:tr>
      <w:tr>
        <w:trPr>
          <w:cantSplit/>
          <w:tblHeader/>
        </w:trPr>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pPr>
        <w:rPr>
          <w:rFonts w:asciiTheme="minorHAnsi" w:hAnsiTheme="minorHAnsi"/>
        </w:rPr>
      </w:pPr>
    </w:p>
    <w:p>
      <w:pPr>
        <w:rPr>
          <w:b/>
          <w:sz w:val="24"/>
          <w:szCs w:val="24"/>
        </w:rPr>
      </w:pPr>
      <w:r>
        <w:rPr>
          <w:b/>
          <w:sz w:val="24"/>
          <w:szCs w:val="24"/>
        </w:rPr>
        <w:t>Narrative</w:t>
      </w:r>
    </w:p>
    <w:p>
      <w:pPr>
        <w:rPr>
          <w:rFonts w:cs="Arial"/>
        </w:rPr>
        <w:sectPr>
          <w:pgSz w:w="15840" w:h="12240" w:orient="landscape" w:code="1"/>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AP-12 Participation - 91.401, 91.105, 91.200(c)</w:t>
      </w:r>
    </w:p>
    <w:p>
      <w:pPr>
        <w:spacing w:after="0" w:line="240" w:lineRule="auto"/>
        <w:rPr>
          <w:b/>
          <w:sz w:val="24"/>
          <w:szCs w:val="24"/>
        </w:rPr>
      </w:pPr>
      <w:r>
        <w:rPr>
          <w:b/>
          <w:sz w:val="24"/>
          <w:szCs w:val="24"/>
        </w:rPr>
        <w:t>1.</w:t>
        <w:tab/>
        <w:t>Summary of citizen participation process/Efforts made to broaden citizen participation</w:t>
      </w:r>
    </w:p>
    <w:p>
      <w:pPr>
        <w:spacing w:after="0" w:line="240" w:lineRule="auto"/>
        <w:rPr>
          <w:b/>
          <w:sz w:val="24"/>
          <w:szCs w:val="24"/>
        </w:rPr>
      </w:pPr>
      <w:r>
        <w:rPr>
          <w:b/>
          <w:sz w:val="24"/>
          <w:szCs w:val="24"/>
        </w:rPr>
        <w:t>Summarize citizen participation process and how it impacted goal-setting</w:t>
      </w:r>
    </w:p>
    <w:p>
      <w:pPr>
        <w:spacing w:after="0" w:line="240" w:lineRule="auto"/>
        <w:rPr>
          <w:b/>
          <w:sz w:val="24"/>
          <w:szCs w:val="24"/>
        </w:rPr>
      </w:pPr>
    </w:p>
    <w:p>
      <w:pPr>
        <w:rPr>
          <w:rFonts w:cs="Arial"/>
        </w:rPr>
      </w:pPr>
    </w:p>
    <w:p>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trPr>
          <w:cantSplit/>
          <w:tblHeader/>
        </w:trPr>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URL (If applicable)</w:t>
            </w:r>
          </w:p>
        </w:tc>
      </w:tr>
      <w:tr>
        <w:trPr>
          <w:cantSplit/>
        </w:trPr>
        <w:tc>
          <w:tcPr>
            <w:tcW w:w="540"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540"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831"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40" w:type="pct"/>
            <w:tcBorders>
              <w:top w:val="single" w:color="auto" w:sz="4" w:space="0"/>
              <w:left w:val="single" w:color="auto" w:sz="4" w:space="0"/>
              <w:bottom w:val="single" w:color="auto" w:sz="4" w:space="0"/>
              <w:right w:val="single" w:color="auto" w:sz="4" w:space="0"/>
            </w:tcBorders>
          </w:tcPr>
          <w:p>
            <w:pPr>
              <w:keepNext/>
              <w:spacing w:after="0" w:line="240" w:lineRule="auto"/>
            </w:pP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r>
        <w:rPr>
          <w:rFonts w:asciiTheme="minorHAnsi" w:hAnsiTheme="minorHAnsi"/>
          <w:sz w:val="32"/>
          <w:szCs w:val="32"/>
        </w:rPr>
        <w:br w:type="page"/>
      </w:r>
    </w:p>
    <w:p>
      <w:pPr>
        <w:jc w:val="center"/>
        <w:rPr>
          <w:b/>
          <w:sz w:val="32"/>
          <w:szCs w:val="32"/>
        </w:rPr>
        <w:sectPr>
          <w:footerReference r:id="rId14" w:type="default"/>
          <w:pgSz w:w="15840" w:h="12240" w:orient="landscape" w:code="1"/>
          <w:pgMar w:top="1440" w:right="1440" w:bottom="1440" w:left="1440" w:header="720" w:footer="720" w:gutter="0"/>
          <w:cols w:space="720"/>
          <w:docGrid w:linePitch="360"/>
        </w:sectPr>
      </w:pPr>
    </w:p>
    <w:p>
      <w:pPr>
        <w:pStyle w:val="Heading1"/>
        <w:pageBreakBefore/>
        <w:jc w:val="center"/>
        <w:rPr>
          <w:rFonts w:ascii="Calibri" w:hAnsi="Calibri"/>
          <w:color w:val="auto"/>
          <w:sz w:val="32"/>
          <w:szCs w:val="32"/>
        </w:rPr>
      </w:pPr>
      <w:r>
        <w:rPr>
          <w:rFonts w:ascii="Calibri" w:hAnsi="Calibri"/>
          <w:color w:val="auto"/>
          <w:sz w:val="32"/>
          <w:szCs w:val="32"/>
        </w:rPr>
        <w:t>Expected Resources</w:t>
      </w:r>
    </w:p>
    <w:p>
      <w:pPr>
        <w:pStyle w:val="Heading2"/>
        <w:rPr>
          <w:rFonts w:ascii="Calibri" w:hAnsi="Calibri"/>
          <w:i w:val="false"/>
        </w:rPr>
      </w:pPr>
      <w:r>
        <w:rPr>
          <w:rFonts w:ascii="Calibri" w:hAnsi="Calibri"/>
          <w:i w:val="false"/>
        </w:rPr>
        <w:t>AP-15 Expected Resources - 91.420(b), 91.220(c)(1,2)</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mission of the Division is to </w:t>
      </w:r>
      <w:r>
        <w:rPr>
          <w:b/>
        </w:rPr>
        <w:t xml:space="preserve">support equitable and inclusive communities</w:t>
      </w:r>
      <w:r>
        <w:rPr/>
        <w:t xml:space="preserve"> through</w:t>
      </w:r>
    </w:p>
    <w:p>
      <w:pPr>
        <w:keepNext/>
        <w:widowControl w:val="false"/>
        <w:spacing w:beforeAutospacing="true" w:afterAutospacing="true"/>
        <w:rPr>
          <w:b/>
          <w:sz w:val="24"/>
          <w:szCs w:val="24"/>
        </w:rPr>
      </w:pPr>
      <w:r>
        <w:rPr>
          <w:b/>
        </w:rPr>
        <w:t xml:space="preserve">Preserving and/or developing quality affordable housing</w:t>
      </w:r>
    </w:p>
    <w:p>
      <w:pPr>
        <w:keepNext/>
        <w:widowControl w:val="false"/>
        <w:spacing w:beforeAutospacing="true" w:afterAutospacing="true"/>
        <w:rPr>
          <w:b/>
          <w:sz w:val="24"/>
          <w:szCs w:val="24"/>
        </w:rPr>
      </w:pPr>
      <w:r>
        <w:rPr>
          <w:b/>
        </w:rPr>
        <w:t xml:space="preserve">Supporting capital improvements and public service programs to meet the needs of the communities</w:t>
      </w:r>
      <w:r>
        <w:rPr/>
        <w:t xml:space="preserve"> </w:t>
      </w:r>
    </w:p>
    <w:p>
      <w:pPr>
        <w:keepNext/>
        <w:widowControl w:val="false"/>
        <w:spacing w:beforeAutospacing="true" w:afterAutospacing="true"/>
        <w:rPr>
          <w:b/>
          <w:sz w:val="24"/>
          <w:szCs w:val="24"/>
        </w:rPr>
      </w:pPr>
      <w:r>
        <w:rPr>
          <w:b/>
        </w:rPr>
        <w:t xml:space="preserve">Reducing housing discrimination</w:t>
      </w:r>
    </w:p>
    <w:p>
      <w:pPr>
        <w:keepNext/>
        <w:widowControl w:val="false"/>
        <w:spacing w:beforeAutospacing="true" w:afterAutospacing="true"/>
        <w:rPr>
          <w:b/>
          <w:sz w:val="24"/>
          <w:szCs w:val="24"/>
        </w:rPr>
      </w:pPr>
      <w:r>
        <w:rPr>
          <w:b/>
        </w:rPr>
        <w:t xml:space="preserve">Community engagement</w:t>
      </w:r>
    </w:p>
    <w:p>
      <w:pPr>
        <w:keepNext/>
        <w:widowControl w:val="false"/>
        <w:spacing w:beforeAutospacing="true" w:afterAutospacing="true"/>
        <w:rPr>
          <w:b/>
          <w:sz w:val="24"/>
          <w:szCs w:val="24"/>
        </w:rPr>
      </w:pPr>
      <w:r>
        <w:rPr/>
        <w:t xml:space="preserve">In PY 2021, the Division will use CDBG, HOME and ESG funds as well as recycled paybacks, Program Income, County match, competitive Comprehensive Housing Counseling Grant, and state housing counseling grants to further the goals and objectives of the PY 2021-2025 Consolidated Plan.</w:t>
      </w:r>
    </w:p>
    <w:p>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trPr>
          <w:cantSplit/>
          <w:tblHeader/>
        </w:trPr>
        <w:tc>
          <w:tcPr>
            <w:tcW w:w="1793" w:type="dxa"/>
            <w:vMerge w:val="restart"/>
          </w:tcPr>
          <w:p>
            <w:pPr>
              <w:keepNext/>
              <w:widowControl w:val="false"/>
              <w:spacing w:after="0" w:line="240" w:lineRule="auto"/>
              <w:jc w:val="center"/>
              <w:rPr>
                <w:b/>
                <w:sz w:val="24"/>
                <w:szCs w:val="24"/>
              </w:rPr>
            </w:pPr>
            <w:r>
              <w:rPr>
                <w:b/>
                <w:sz w:val="20"/>
                <w:szCs w:val="20"/>
              </w:rPr>
              <w:t>Program</w:t>
            </w:r>
          </w:p>
        </w:tc>
        <w:tc>
          <w:tcPr>
            <w:tcW w:w="820" w:type="dxa"/>
            <w:vMerge w:val="restart"/>
          </w:tcPr>
          <w:p>
            <w:pPr>
              <w:keepNext/>
              <w:widowControl w:val="false"/>
              <w:spacing w:after="0" w:line="240" w:lineRule="auto"/>
              <w:jc w:val="center"/>
              <w:rPr>
                <w:b/>
                <w:sz w:val="24"/>
                <w:szCs w:val="24"/>
              </w:rPr>
            </w:pPr>
            <w:r>
              <w:rPr>
                <w:b/>
                <w:sz w:val="20"/>
                <w:szCs w:val="20"/>
              </w:rPr>
              <w:t>Source of Funds</w:t>
            </w:r>
          </w:p>
        </w:tc>
        <w:tc>
          <w:tcPr>
            <w:tcW w:w="1936" w:type="dxa"/>
            <w:vMerge w:val="restart"/>
          </w:tcPr>
          <w:p>
            <w:pPr>
              <w:keepNext/>
              <w:widowControl w:val="false"/>
              <w:spacing w:after="0" w:line="240" w:lineRule="auto"/>
              <w:jc w:val="center"/>
              <w:rPr>
                <w:b/>
                <w:sz w:val="24"/>
                <w:szCs w:val="24"/>
              </w:rPr>
            </w:pPr>
            <w:r>
              <w:rPr>
                <w:b/>
                <w:sz w:val="20"/>
                <w:szCs w:val="20"/>
              </w:rPr>
              <w:t>Uses of Funds</w:t>
            </w:r>
          </w:p>
        </w:tc>
        <w:tc>
          <w:tcPr>
            <w:tcW w:w="4804" w:type="dxa"/>
            <w:gridSpan w:val="4"/>
          </w:tcPr>
          <w:p>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pPr>
              <w:keepNext/>
              <w:widowControl w:val="false"/>
              <w:spacing w:after="0" w:line="240" w:lineRule="auto"/>
              <w:jc w:val="center"/>
              <w:rPr>
                <w:b/>
                <w:sz w:val="20"/>
                <w:szCs w:val="20"/>
              </w:rPr>
            </w:pPr>
            <w:r>
              <w:rPr>
                <w:b/>
                <w:sz w:val="20"/>
                <w:szCs w:val="20"/>
              </w:rPr>
              <w:t xml:space="preserve">Expected Amount Available Remainder of ConPlan </w:t>
            </w:r>
          </w:p>
          <w:p>
            <w:pPr>
              <w:keepNext/>
              <w:widowControl w:val="false"/>
              <w:spacing w:after="0" w:line="240" w:lineRule="auto"/>
              <w:jc w:val="center"/>
              <w:rPr>
                <w:b/>
                <w:sz w:val="24"/>
                <w:szCs w:val="24"/>
              </w:rPr>
            </w:pPr>
            <w:r>
              <w:rPr>
                <w:b/>
                <w:sz w:val="20"/>
                <w:szCs w:val="20"/>
              </w:rPr>
              <w:t>$</w:t>
            </w:r>
          </w:p>
        </w:tc>
        <w:tc>
          <w:tcPr>
            <w:tcW w:w="2448" w:type="dxa"/>
            <w:vMerge w:val="restart"/>
          </w:tcPr>
          <w:p>
            <w:pPr>
              <w:keepNext/>
              <w:widowControl w:val="false"/>
              <w:spacing w:after="0" w:line="240" w:lineRule="auto"/>
              <w:jc w:val="center"/>
              <w:rPr>
                <w:b/>
                <w:sz w:val="24"/>
                <w:szCs w:val="24"/>
              </w:rPr>
            </w:pPr>
            <w:r>
              <w:rPr>
                <w:b/>
                <w:sz w:val="20"/>
                <w:szCs w:val="20"/>
              </w:rPr>
              <w:t>Narrative Description</w:t>
            </w:r>
          </w:p>
        </w:tc>
      </w:tr>
      <w:tr>
        <w:trPr>
          <w:cantSplit/>
          <w:tblHeader/>
        </w:trPr>
        <w:tc>
          <w:tcPr>
            <w:tcW w:w="1793" w:type="dxa"/>
            <w:vMerge/>
          </w:tcPr>
          <w:p>
            <w:pPr>
              <w:keepNext/>
              <w:widowControl w:val="false"/>
              <w:spacing w:after="0" w:line="240" w:lineRule="auto"/>
              <w:jc w:val="center"/>
              <w:rPr>
                <w:b/>
                <w:sz w:val="24"/>
                <w:szCs w:val="24"/>
              </w:rPr>
            </w:pPr>
          </w:p>
        </w:tc>
        <w:tc>
          <w:tcPr>
            <w:tcW w:w="820" w:type="dxa"/>
            <w:vMerge/>
          </w:tcPr>
          <w:p>
            <w:pPr>
              <w:keepNext/>
              <w:widowControl w:val="false"/>
              <w:spacing w:after="0" w:line="240" w:lineRule="auto"/>
              <w:jc w:val="center"/>
              <w:rPr>
                <w:b/>
                <w:sz w:val="24"/>
                <w:szCs w:val="24"/>
              </w:rPr>
            </w:pPr>
          </w:p>
        </w:tc>
        <w:tc>
          <w:tcPr>
            <w:tcW w:w="1936" w:type="dxa"/>
            <w:vMerge/>
          </w:tcPr>
          <w:p>
            <w:pPr>
              <w:keepNext/>
              <w:widowControl w:val="false"/>
              <w:spacing w:after="0" w:line="240" w:lineRule="auto"/>
              <w:jc w:val="center"/>
              <w:rPr>
                <w:b/>
                <w:sz w:val="24"/>
                <w:szCs w:val="24"/>
              </w:rPr>
            </w:pPr>
          </w:p>
        </w:tc>
        <w:tc>
          <w:tcPr>
            <w:tcW w:w="1204" w:type="dxa"/>
          </w:tcPr>
          <w:p>
            <w:pPr>
              <w:keepNext/>
              <w:widowControl w:val="false"/>
              <w:spacing w:after="0" w:line="240" w:lineRule="auto"/>
              <w:jc w:val="center"/>
              <w:rPr>
                <w:b/>
                <w:sz w:val="24"/>
                <w:szCs w:val="24"/>
              </w:rPr>
            </w:pPr>
            <w:r>
              <w:rPr>
                <w:b/>
                <w:sz w:val="20"/>
                <w:szCs w:val="20"/>
              </w:rPr>
              <w:t>Annual Allocation: $</w:t>
            </w:r>
          </w:p>
        </w:tc>
        <w:tc>
          <w:tcPr>
            <w:tcW w:w="1260" w:type="dxa"/>
          </w:tcPr>
          <w:p>
            <w:pPr>
              <w:keepNext/>
              <w:widowControl w:val="false"/>
              <w:spacing w:after="0" w:line="240" w:lineRule="auto"/>
              <w:jc w:val="center"/>
              <w:rPr>
                <w:b/>
                <w:sz w:val="24"/>
                <w:szCs w:val="24"/>
              </w:rPr>
            </w:pPr>
            <w:r>
              <w:rPr>
                <w:b/>
                <w:sz w:val="20"/>
                <w:szCs w:val="20"/>
              </w:rPr>
              <w:t>Program Income: $</w:t>
            </w:r>
          </w:p>
        </w:tc>
        <w:tc>
          <w:tcPr>
            <w:tcW w:w="1260" w:type="dxa"/>
          </w:tcPr>
          <w:p>
            <w:pPr>
              <w:keepNext/>
              <w:widowControl w:val="false"/>
              <w:spacing w:after="0" w:line="240" w:lineRule="auto"/>
              <w:jc w:val="center"/>
              <w:rPr>
                <w:b/>
                <w:sz w:val="24"/>
                <w:szCs w:val="24"/>
              </w:rPr>
            </w:pPr>
            <w:r>
              <w:rPr>
                <w:b/>
                <w:sz w:val="20"/>
                <w:szCs w:val="20"/>
              </w:rPr>
              <w:t>Prior Year Resources: $</w:t>
            </w:r>
          </w:p>
        </w:tc>
        <w:tc>
          <w:tcPr>
            <w:tcW w:w="1080" w:type="dxa"/>
          </w:tcPr>
          <w:p>
            <w:pPr>
              <w:keepNext/>
              <w:widowControl w:val="false"/>
              <w:spacing w:after="0" w:line="240" w:lineRule="auto"/>
              <w:jc w:val="center"/>
              <w:rPr>
                <w:b/>
                <w:sz w:val="20"/>
                <w:szCs w:val="20"/>
              </w:rPr>
            </w:pPr>
            <w:r>
              <w:rPr>
                <w:b/>
                <w:sz w:val="20"/>
                <w:szCs w:val="20"/>
              </w:rPr>
              <w:t>Total:</w:t>
            </w:r>
          </w:p>
          <w:p>
            <w:pPr>
              <w:keepNext/>
              <w:widowControl w:val="false"/>
              <w:spacing w:after="0" w:line="240" w:lineRule="auto"/>
              <w:jc w:val="center"/>
              <w:rPr>
                <w:b/>
                <w:sz w:val="24"/>
                <w:szCs w:val="24"/>
              </w:rPr>
            </w:pPr>
            <w:r>
              <w:rPr>
                <w:b/>
                <w:sz w:val="20"/>
                <w:szCs w:val="20"/>
              </w:rPr>
              <w:t>$</w:t>
            </w:r>
          </w:p>
        </w:tc>
        <w:tc>
          <w:tcPr>
            <w:tcW w:w="1260" w:type="dxa"/>
            <w:vMerge/>
          </w:tcPr>
          <w:p>
            <w:pPr>
              <w:keepNext/>
              <w:widowControl w:val="false"/>
              <w:spacing w:after="0" w:line="240" w:lineRule="auto"/>
              <w:jc w:val="center"/>
              <w:rPr>
                <w:b/>
                <w:sz w:val="24"/>
                <w:szCs w:val="24"/>
              </w:rPr>
            </w:pPr>
          </w:p>
        </w:tc>
        <w:tc>
          <w:tcPr>
            <w:tcW w:w="2448" w:type="dxa"/>
            <w:vMerge/>
          </w:tcPr>
          <w:p>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5,482,558</w:t>
            </w:r>
          </w:p>
        </w:tc>
        <w:tc>
          <w:tcPr>
            <w:vAlign w:val="bottom"/>
          </w:tcPr>
          <w:p>
            <w:pPr>
              <w:spacing w:beforeAutospacing="true" w:afterAutospacing="true"/>
              <w:jc w:val="right"/>
            </w:pPr>
            <w:r>
              <w:rPr>
                <w:rFonts w:ascii="Calibri" w:hAnsi="Calibri"/>
                <w:color w:val="000000"/>
                <w:sz w:val="22"/>
              </w:rPr>
              <w:t xml:space="preserve">1,000,000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6,482,558</w:t>
            </w:r>
          </w:p>
        </w:tc>
        <w:tc>
          <w:tcPr>
            <w:vAlign w:val="bottom"/>
          </w:tcPr>
          <w:p>
            <w:pPr>
              <w:spacing w:beforeAutospacing="true" w:afterAutospacing="true"/>
              <w:jc w:val="right"/>
            </w:pPr>
            <w:r>
              <w:rPr>
                <w:rFonts w:ascii="Calibri" w:hAnsi="Calibri"/>
                <w:color w:val="000000"/>
                <w:sz w:val="22"/>
              </w:rPr>
              <w:t xml:space="preserve">25,930,232</w:t>
            </w:r>
          </w:p>
        </w:tc>
        <w:tc>
          <w:tcPr>
            <w:vAlign w:val="top"/>
          </w:tcPr>
          <w:p>
            <w:pPr>
              <w:spacing w:beforeAutospacing="true" w:afterAutospacing="true"/>
              <w:jc w:val="left"/>
            </w:pPr>
            <w:r>
              <w:rPr>
                <w:rFonts w:ascii="Calibri" w:hAnsi="Calibri"/>
                <w:color w:val="000000"/>
                <w:sz w:val="22"/>
              </w:rPr>
              <w:t xml:space="preserve">Public facilities, neighborhood and housing improvements and public services benefitting low income persons throughout Oakland County Urban County participating communities.</w:t>
            </w:r>
          </w:p>
        </w:tc>
      </w:tr>
      <w:tr>
        <w:trPr>
          <w:cantSplit w:val="true"/>
        </w:trPr>
        <w:tc>
          <w:tcPr>
            <w:vAlign w:val="top"/>
          </w:tcPr>
          <w:p>
            <w:pPr>
              <w:spacing w:beforeAutospacing="true" w:afterAutospacing="true"/>
              <w:jc w:val="left"/>
            </w:pPr>
            <w:r>
              <w:rPr>
                <w:rFonts w:ascii="Calibri" w:hAnsi="Calibri"/>
                <w:color w:val="000000"/>
                <w:sz w:val="22"/>
              </w:rPr>
              <w:t xml:space="preserve">HOME</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Homebuyer assistance</w:t>
            </w:r>
            <w:r>
              <w:rPr>
                <w:rFonts w:ascii="Calibri" w:hAnsi="Calibri"/>
                <w:color w:val="000000"/>
                <w:sz w:val="22"/>
              </w:rPr>
              <w:br/>
              <w:t xml:space="preserve"/>
            </w:r>
            <w:r>
              <w:rPr>
                <w:rFonts w:ascii="Calibri" w:hAnsi="Calibri"/>
                <w:color w:val="000000"/>
                <w:sz w:val="22"/>
              </w:rPr>
              <w:t xml:space="preserve">Homeowner rehab</w:t>
            </w:r>
            <w:r>
              <w:rPr>
                <w:rFonts w:ascii="Calibri" w:hAnsi="Calibri"/>
                <w:color w:val="000000"/>
                <w:sz w:val="22"/>
              </w:rPr>
              <w:br/>
              <w:t xml:space="preserve"/>
            </w:r>
            <w:r>
              <w:rPr>
                <w:rFonts w:ascii="Calibri" w:hAnsi="Calibri"/>
                <w:color w:val="000000"/>
                <w:sz w:val="22"/>
              </w:rPr>
              <w:t xml:space="preserve">Multifamily rental new construction</w:t>
            </w:r>
            <w:r>
              <w:rPr>
                <w:rFonts w:ascii="Calibri" w:hAnsi="Calibri"/>
                <w:color w:val="000000"/>
                <w:sz w:val="22"/>
              </w:rPr>
              <w:br/>
              <w:t xml:space="preserve"/>
            </w:r>
            <w:r>
              <w:rPr>
                <w:rFonts w:ascii="Calibri" w:hAnsi="Calibri"/>
                <w:color w:val="000000"/>
                <w:sz w:val="22"/>
              </w:rPr>
              <w:t xml:space="preserve">Multifamily rental rehab</w:t>
            </w:r>
            <w:r>
              <w:rPr>
                <w:rFonts w:ascii="Calibri" w:hAnsi="Calibri"/>
                <w:color w:val="000000"/>
                <w:sz w:val="22"/>
              </w:rPr>
              <w:br/>
              <w:t xml:space="preserve"/>
            </w:r>
            <w:r>
              <w:rPr>
                <w:rFonts w:ascii="Calibri" w:hAnsi="Calibri"/>
                <w:color w:val="000000"/>
                <w:sz w:val="22"/>
              </w:rPr>
              <w:t xml:space="preserve">New construction for ownership</w:t>
            </w:r>
            <w:r>
              <w:rPr>
                <w:rFonts w:ascii="Calibri" w:hAnsi="Calibri"/>
                <w:color w:val="000000"/>
                <w:sz w:val="22"/>
              </w:rPr>
              <w:br/>
              <w:t xml:space="preserve"/>
            </w:r>
            <w:r>
              <w:rPr>
                <w:rFonts w:ascii="Calibri" w:hAnsi="Calibri"/>
                <w:color w:val="000000"/>
                <w:sz w:val="22"/>
              </w:rPr>
              <w:t xml:space="preserve">TBRA</w:t>
            </w:r>
          </w:p>
        </w:tc>
        <w:tc>
          <w:tcPr>
            <w:vAlign w:val="bottom"/>
          </w:tcPr>
          <w:p>
            <w:pPr>
              <w:spacing w:beforeAutospacing="true" w:afterAutospacing="true"/>
              <w:jc w:val="right"/>
            </w:pPr>
            <w:r>
              <w:rPr>
                <w:rFonts w:ascii="Calibri" w:hAnsi="Calibri"/>
                <w:color w:val="000000"/>
                <w:sz w:val="22"/>
              </w:rPr>
              <w:t xml:space="preserve">2,868,418</w:t>
            </w:r>
          </w:p>
        </w:tc>
        <w:tc>
          <w:tcPr>
            <w:vAlign w:val="bottom"/>
          </w:tcPr>
          <w:p>
            <w:pPr>
              <w:spacing w:beforeAutospacing="true" w:afterAutospacing="true"/>
              <w:jc w:val="right"/>
            </w:pPr>
            <w:r>
              <w:rPr>
                <w:rFonts w:ascii="Calibri" w:hAnsi="Calibri"/>
                <w:color w:val="000000"/>
                <w:sz w:val="22"/>
              </w:rPr>
              <w:t xml:space="preserve">1,400,000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4,268,418</w:t>
            </w:r>
          </w:p>
        </w:tc>
        <w:tc>
          <w:tcPr>
            <w:vAlign w:val="bottom"/>
          </w:tcPr>
          <w:p>
            <w:pPr>
              <w:spacing w:beforeAutospacing="true" w:afterAutospacing="true"/>
              <w:jc w:val="right"/>
            </w:pPr>
            <w:r>
              <w:rPr>
                <w:rFonts w:ascii="Calibri" w:hAnsi="Calibri"/>
                <w:color w:val="000000"/>
                <w:sz w:val="22"/>
              </w:rPr>
              <w:t xml:space="preserve">17,073,672</w:t>
            </w:r>
          </w:p>
        </w:tc>
        <w:tc>
          <w:tcPr>
            <w:vAlign w:val="top"/>
          </w:tcPr>
          <w:p>
            <w:pPr>
              <w:spacing w:beforeAutospacing="true" w:afterAutospacing="true"/>
              <w:jc w:val="left"/>
            </w:pPr>
            <w:r>
              <w:rPr>
                <w:rFonts w:ascii="Calibri" w:hAnsi="Calibri"/>
                <w:color w:val="000000"/>
                <w:sz w:val="22"/>
              </w:rPr>
              <w:t xml:space="preserve">Acquisition, rehabilitation, new construction of affordable housing including rental development and homebuyer and tenant based rental assistance throughout Oakland County HOME Consortium participating communities. Note: PY 2021 HOME Match = $609,538</w:t>
            </w:r>
          </w:p>
        </w:tc>
      </w:tr>
      <w:tr>
        <w:trPr>
          <w:cantSplit w:val="true"/>
        </w:trPr>
        <w:tc>
          <w:tcPr>
            <w:vAlign w:val="top"/>
          </w:tcPr>
          <w:p>
            <w:pPr>
              <w:spacing w:beforeAutospacing="true" w:afterAutospacing="true"/>
              <w:jc w:val="left"/>
            </w:pPr>
            <w:r>
              <w:rPr>
                <w:rFonts w:ascii="Calibri" w:hAnsi="Calibri"/>
                <w:color w:val="000000"/>
                <w:sz w:val="22"/>
              </w:rPr>
              <w:t xml:space="preserve">ESG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Conversion and rehab for transitional housing</w:t>
            </w:r>
            <w:r>
              <w:rPr>
                <w:rFonts w:ascii="Calibri" w:hAnsi="Calibri"/>
                <w:color w:val="000000"/>
                <w:sz w:val="22"/>
              </w:rPr>
              <w:br/>
              <w:t xml:space="preserve"/>
            </w:r>
            <w:r>
              <w:rPr>
                <w:rFonts w:ascii="Calibri" w:hAnsi="Calibri"/>
                <w:color w:val="000000"/>
                <w:sz w:val="22"/>
              </w:rPr>
              <w:t xml:space="preserve">Financial Assistance</w:t>
            </w:r>
            <w:r>
              <w:rPr>
                <w:rFonts w:ascii="Calibri" w:hAnsi="Calibri"/>
                <w:color w:val="000000"/>
                <w:sz w:val="22"/>
              </w:rPr>
              <w:br/>
              <w:t xml:space="preserve"/>
            </w:r>
            <w:r>
              <w:rPr>
                <w:rFonts w:ascii="Calibri" w:hAnsi="Calibri"/>
                <w:color w:val="000000"/>
                <w:sz w:val="22"/>
              </w:rPr>
              <w:t xml:space="preserve">Overnight shelter</w:t>
            </w:r>
            <w:r>
              <w:rPr>
                <w:rFonts w:ascii="Calibri" w:hAnsi="Calibri"/>
                <w:color w:val="000000"/>
                <w:sz w:val="22"/>
              </w:rPr>
              <w:br/>
              <w:t xml:space="preserve"/>
            </w:r>
            <w:r>
              <w:rPr>
                <w:rFonts w:ascii="Calibri" w:hAnsi="Calibri"/>
                <w:color w:val="000000"/>
                <w:sz w:val="22"/>
              </w:rPr>
              <w:t xml:space="preserve">Rapid re-housing (rental assistance)</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Services</w:t>
            </w:r>
            <w:r>
              <w:rPr>
                <w:rFonts w:ascii="Calibri" w:hAnsi="Calibri"/>
                <w:color w:val="000000"/>
                <w:sz w:val="22"/>
              </w:rPr>
              <w:br/>
              <w:t xml:space="preserve"/>
            </w:r>
            <w:r>
              <w:rPr>
                <w:rFonts w:ascii="Calibri" w:hAnsi="Calibri"/>
                <w:color w:val="000000"/>
                <w:sz w:val="22"/>
              </w:rPr>
              <w:t xml:space="preserve">Transitional housing</w:t>
            </w:r>
          </w:p>
        </w:tc>
        <w:tc>
          <w:tcPr>
            <w:vAlign w:val="bottom"/>
          </w:tcPr>
          <w:p>
            <w:pPr>
              <w:spacing w:beforeAutospacing="true" w:afterAutospacing="true"/>
              <w:jc w:val="right"/>
            </w:pPr>
            <w:r>
              <w:rPr>
                <w:rFonts w:ascii="Calibri" w:hAnsi="Calibri"/>
                <w:color w:val="000000"/>
                <w:sz w:val="22"/>
              </w:rPr>
              <w:t xml:space="preserve">327,744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327,744</w:t>
            </w:r>
          </w:p>
        </w:tc>
        <w:tc>
          <w:tcPr>
            <w:vAlign w:val="bottom"/>
          </w:tcPr>
          <w:p>
            <w:pPr>
              <w:spacing w:beforeAutospacing="true" w:afterAutospacing="true"/>
              <w:jc w:val="right"/>
            </w:pPr>
            <w:r>
              <w:rPr>
                <w:rFonts w:ascii="Calibri" w:hAnsi="Calibri"/>
                <w:color w:val="000000"/>
                <w:sz w:val="22"/>
              </w:rPr>
              <w:t xml:space="preserve">1,310,976</w:t>
            </w:r>
          </w:p>
        </w:tc>
        <w:tc>
          <w:tcPr>
            <w:vAlign w:val="top"/>
          </w:tcPr>
          <w:p>
            <w:pPr>
              <w:spacing w:beforeAutospacing="true" w:afterAutospacing="true"/>
              <w:jc w:val="left"/>
            </w:pPr>
            <w:r>
              <w:rPr>
                <w:rFonts w:ascii="Calibri" w:hAnsi="Calibri"/>
                <w:color w:val="000000"/>
                <w:sz w:val="22"/>
              </w:rPr>
              <w:t xml:space="preserve">Emergency Shelter, Homeless Prevention and Rapid Re-Housing, HMIS and Administration throughout Oakland County Urban County participating communities.</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pPr>
        <w:spacing w:after="0" w:line="240" w:lineRule="auto"/>
        <w:rPr>
          <w:b/>
          <w:sz w:val="24"/>
          <w:szCs w:val="24"/>
        </w:rPr>
      </w:pPr>
    </w:p>
    <w:p>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b/>
        </w:rPr>
        <w:t xml:space="preserve">CDBG - No Match Requirement</w:t>
      </w:r>
    </w:p>
    <w:p>
      <w:pPr>
        <w:widowControl w:val="false"/>
        <w:numPr>
          <w:ilvl w:val="0"/>
          <w:numId w:val="3"/>
        </w:numPr>
        <w:spacing w:beforeAutospacing="true" w:afterAutospacing="true"/>
        <w:rPr>
          <w:szCs w:val="24"/>
        </w:rPr>
      </w:pPr>
      <w:r>
        <w:rPr/>
        <w:t xml:space="preserve">In-kind County level administrative functions: human resources, marketing, fiscal services, purchasing, auditing, corporation counsel, record retention and mail room support services</w:t>
      </w:r>
    </w:p>
    <w:p>
      <w:pPr>
        <w:widowControl w:val="false"/>
        <w:numPr>
          <w:ilvl w:val="0"/>
          <w:numId w:val="3"/>
        </w:numPr>
        <w:spacing w:beforeAutospacing="true" w:afterAutospacing="true"/>
        <w:rPr>
          <w:szCs w:val="24"/>
        </w:rPr>
      </w:pPr>
      <w:r>
        <w:rPr/>
        <w:t xml:space="preserve">Infrastructure and public facility projects supported with funds from participating communities</w:t>
      </w:r>
    </w:p>
    <w:p>
      <w:pPr>
        <w:widowControl w:val="false"/>
        <w:numPr>
          <w:ilvl w:val="0"/>
          <w:numId w:val="3"/>
        </w:numPr>
        <w:spacing w:beforeAutospacing="true" w:afterAutospacing="true"/>
        <w:rPr>
          <w:szCs w:val="24"/>
        </w:rPr>
      </w:pPr>
      <w:r>
        <w:rPr/>
        <w:t xml:space="preserve">Revolving Loan Fund (RLF) generated from paybacks on CDBG funded housing rehabilitation loans supplement the HIP. During PY 2021 the County will recycle approximately $1,000,000 in CDBG RLF into the HIP for the rehabilitation of approximately 50 single-family homes of LI residents.</w:t>
      </w:r>
    </w:p>
    <w:p>
      <w:pPr>
        <w:widowControl w:val="false"/>
        <w:numPr>
          <w:ilvl w:val="0"/>
          <w:numId w:val="3"/>
        </w:numPr>
        <w:spacing w:beforeAutospacing="true" w:afterAutospacing="true"/>
        <w:rPr>
          <w:szCs w:val="24"/>
        </w:rPr>
      </w:pPr>
      <w:r>
        <w:rPr/>
        <w:t xml:space="preserve">Emergency, youth, senior and other public services designed to meet special needs of LI residents are expanded through leverage from various public service agencies.</w:t>
      </w:r>
    </w:p>
    <w:p>
      <w:pPr>
        <w:widowControl w:val="false"/>
        <w:spacing w:beforeAutospacing="true" w:afterAutospacing="true"/>
        <w:rPr>
          <w:szCs w:val="24"/>
        </w:rPr>
      </w:pPr>
      <w:r>
        <w:rPr>
          <w:b/>
        </w:rPr>
        <w:t xml:space="preserve">HOME - 25% Match Requirement</w:t>
      </w:r>
    </w:p>
    <w:p>
      <w:pPr>
        <w:widowControl w:val="false"/>
        <w:numPr>
          <w:ilvl w:val="0"/>
          <w:numId w:val="3"/>
        </w:numPr>
        <w:spacing w:beforeAutospacing="true" w:afterAutospacing="true"/>
        <w:rPr>
          <w:szCs w:val="24"/>
        </w:rPr>
      </w:pPr>
      <w:r>
        <w:rPr/>
        <w:t xml:space="preserve">Oakland County ensures that all housing projects receive $1 of non-federal match for every $4 of HOME funds expended, in accordance with federal guideline (s.92.218).</w:t>
      </w:r>
    </w:p>
    <w:p>
      <w:pPr>
        <w:widowControl w:val="false"/>
        <w:numPr>
          <w:ilvl w:val="0"/>
          <w:numId w:val="3"/>
        </w:numPr>
        <w:spacing w:beforeAutospacing="true" w:afterAutospacing="true"/>
        <w:rPr>
          <w:szCs w:val="24"/>
        </w:rPr>
      </w:pPr>
      <w:r>
        <w:rPr/>
        <w:t xml:space="preserve">The HOME program requires a 25% match on all non-administrative activities. In PY 2021, $609,538 in general funds will serve as match for County level housing rehabilitation, rental development/preservation and homebuyer assistance activities.</w:t>
      </w:r>
    </w:p>
    <w:p>
      <w:pPr>
        <w:widowControl w:val="false"/>
        <w:numPr>
          <w:ilvl w:val="0"/>
          <w:numId w:val="3"/>
        </w:numPr>
        <w:spacing w:beforeAutospacing="true" w:afterAutospacing="true"/>
        <w:rPr>
          <w:szCs w:val="24"/>
        </w:rPr>
      </w:pPr>
      <w:r>
        <w:rPr/>
        <w:t xml:space="preserve">CHDO’s leverage HOME funds with state and private resources to develop affordable housing</w:t>
      </w:r>
    </w:p>
    <w:p>
      <w:pPr>
        <w:widowControl w:val="false"/>
        <w:numPr>
          <w:ilvl w:val="0"/>
          <w:numId w:val="3"/>
        </w:numPr>
        <w:spacing w:beforeAutospacing="true" w:afterAutospacing="true"/>
        <w:rPr>
          <w:szCs w:val="24"/>
        </w:rPr>
      </w:pPr>
      <w:r>
        <w:rPr/>
        <w:t xml:space="preserve">PI generated from paybacks on HOME funded housing rehabilitation loans supplement the HIP. During PY 2021, the Division estimates approximately $1,400,000 in PI will enable the rehabilitation of approximately 55 single-family homes of LI residents and expand affordable housing development.</w:t>
      </w:r>
    </w:p>
    <w:p>
      <w:pPr>
        <w:widowControl w:val="false"/>
        <w:spacing w:beforeAutospacing="true" w:afterAutospacing="true"/>
        <w:rPr>
          <w:szCs w:val="24"/>
        </w:rPr>
      </w:pPr>
      <w:r>
        <w:rPr>
          <w:b/>
        </w:rPr>
        <w:t xml:space="preserve">ESG - 100% Match Requirement</w:t>
      </w:r>
    </w:p>
    <w:p>
      <w:pPr>
        <w:widowControl w:val="false"/>
        <w:numPr>
          <w:ilvl w:val="0"/>
          <w:numId w:val="3"/>
        </w:numPr>
        <w:spacing w:beforeAutospacing="true" w:afterAutospacing="true"/>
        <w:rPr>
          <w:szCs w:val="24"/>
        </w:rPr>
      </w:pPr>
      <w:r>
        <w:rPr/>
        <w:t xml:space="preserve">Oakland County passes on the match requirements to its vendors</w:t>
      </w:r>
    </w:p>
    <w:p>
      <w:pPr>
        <w:widowControl w:val="false"/>
        <w:numPr>
          <w:ilvl w:val="0"/>
          <w:numId w:val="3"/>
        </w:numPr>
        <w:spacing w:beforeAutospacing="true" w:afterAutospacing="true"/>
        <w:rPr>
          <w:szCs w:val="24"/>
        </w:rPr>
      </w:pPr>
      <w:r>
        <w:rPr/>
        <w:t xml:space="preserve">Cash contributions for allowable costs including staff salaries/fringe benefits</w:t>
      </w:r>
    </w:p>
    <w:p>
      <w:pPr>
        <w:widowControl w:val="false"/>
        <w:numPr>
          <w:ilvl w:val="0"/>
          <w:numId w:val="3"/>
        </w:numPr>
        <w:spacing w:beforeAutospacing="true" w:afterAutospacing="true"/>
        <w:rPr>
          <w:szCs w:val="24"/>
        </w:rPr>
      </w:pPr>
      <w:r>
        <w:rPr/>
        <w:t xml:space="preserve">Noncash contributions</w:t>
      </w:r>
    </w:p>
    <w:p>
      <w:pPr>
        <w:widowControl w:val="false"/>
        <w:numPr>
          <w:ilvl w:val="0"/>
          <w:numId w:val="3"/>
        </w:numPr>
        <w:spacing w:beforeAutospacing="true" w:afterAutospacing="true"/>
        <w:rPr>
          <w:szCs w:val="24"/>
        </w:rPr>
      </w:pPr>
      <w:r>
        <w:rPr/>
        <w:t xml:space="preserve">Volunteer services are matched at the current minimum wage salary unless the recipient can verify a higher rate of pay for current employees performing similar work</w:t>
      </w:r>
    </w:p>
    <w:p>
      <w:pPr>
        <w:widowControl w:val="false"/>
        <w:numPr>
          <w:ilvl w:val="0"/>
          <w:numId w:val="3"/>
        </w:numPr>
        <w:spacing w:beforeAutospacing="true" w:afterAutospacing="true"/>
        <w:rPr>
          <w:szCs w:val="24"/>
        </w:rPr>
      </w:pPr>
      <w:r>
        <w:rPr/>
        <w:t xml:space="preserve">Real property, equipment, goods or services that if the recipient had to pay for them with grant funds, the payments would have been indirect costs</w:t>
      </w:r>
    </w:p>
    <w:p>
      <w:pPr>
        <w:widowControl w:val="false"/>
        <w:numPr>
          <w:ilvl w:val="0"/>
          <w:numId w:val="3"/>
        </w:numPr>
        <w:spacing w:beforeAutospacing="true" w:afterAutospacing="true"/>
        <w:rPr>
          <w:szCs w:val="24"/>
        </w:rPr>
      </w:pPr>
      <w:r>
        <w:rPr/>
        <w:t xml:space="preserve">The value of donated goods and services such as clothing, food, diapers, haircuts, etc. The value placed should be consistent with Office of Management and Budget Circulars.</w:t>
      </w:r>
    </w:p>
    <w:p>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Designated CHDOs may access publicly owned land or property, such through a land bank, for redevelopment as affordable housing through public or private entities.</w:t>
      </w:r>
    </w:p>
    <w:p>
      <w:pPr>
        <w:rPr>
          <w:b/>
          <w:sz w:val="24"/>
          <w:szCs w:val="24"/>
        </w:rPr>
      </w:pPr>
      <w:r>
        <w:rPr>
          <w:b/>
          <w:sz w:val="24"/>
          <w:szCs w:val="24"/>
        </w:rPr>
        <w:t>Discussion</w:t>
      </w:r>
    </w:p>
    <w:p>
      <w:pPr>
        <w:spacing w:beforeAutospacing="true" w:afterAutospacing="true"/>
      </w:pPr>
      <w:r>
        <w:rPr/>
        <w:t xml:space="preserve">A variety of non-federal resources will supplement the CDBG, HOME and ESG funds. Non-federal resources available fall into two general categories - funds required to match the HOME and ESG programs as required by regulation and non-federal funds used by local communities to supplement CDBG allocations for larger scale projects.  The use and reporting of non-federal funds by local communities is voluntary; therefore, a list is not available.  Oakland County uses PI generated from paybacks on CDBG and HOME funded housing rehabilitation loans to expand the HIP and rental gap development/preservation program. </w:t>
      </w:r>
    </w:p>
    <w:p>
      <w:pPr>
        <w:spacing w:beforeAutospacing="true" w:afterAutospacing="true"/>
      </w:pPr>
      <w:r>
        <w:rPr/>
        <w:t xml:space="preserve">Various limited partnerships and corporations construct rental projects for profit with HUD funded subsidies for LI tenants. Many apply for the State’s Low Income Tax Credits. Groups and individuals are encouraged to establish non-profits complying with HUD requirements to permit them to receive funds under the HOME program, as well as funds under Section 811, Supportive Housing for Persons with Disabilities. </w:t>
      </w:r>
    </w:p>
    <w:p>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pPr>
        <w:rPr>
          <w:b/>
          <w:sz w:val="28"/>
          <w:szCs w:val="28"/>
        </w:rPr>
      </w:pPr>
      <w:r>
        <w:rPr>
          <w:b/>
          <w:sz w:val="28"/>
          <w:szCs w:val="28"/>
        </w:rPr>
        <w:t>AP-20 Annual Goals and Objectives - 91.420, 91.220(c)(3)&amp;(e)</w:t>
      </w:r>
    </w:p>
    <w:p>
      <w:pPr>
        <w:keepNext/>
        <w:widowControl w:val="false"/>
        <w:rPr>
          <w:b/>
          <w:sz w:val="24"/>
          <w:szCs w:val="24"/>
        </w:rPr>
      </w:pPr>
      <w:r>
        <w:rPr>
          <w:b/>
          <w:sz w:val="24"/>
          <w:szCs w:val="24"/>
        </w:rPr>
        <w:t xml:space="preserve">Goals Summary Information </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trPr>
          <w:cantSplit/>
          <w:trHeight w:val="486"/>
          <w:tblHeader/>
        </w:trPr>
        <w:tc>
          <w:tcPr>
            <w:tcW w:w="1808" w:type="dxa"/>
          </w:tcPr>
          <w:p>
            <w:pPr>
              <w:keepNext/>
              <w:widowControl w:val="false"/>
              <w:spacing w:after="0" w:line="240" w:lineRule="auto"/>
              <w:jc w:val="center"/>
              <w:rPr>
                <w:b/>
                <w:sz w:val="20"/>
                <w:szCs w:val="20"/>
              </w:rPr>
            </w:pPr>
            <w:r>
              <w:rPr>
                <w:b/>
                <w:sz w:val="20"/>
                <w:szCs w:val="20"/>
              </w:rPr>
              <w:t>Sort Order</w:t>
            </w:r>
          </w:p>
        </w:tc>
        <w:tc>
          <w:tcPr>
            <w:tcW w:w="1809" w:type="dxa"/>
          </w:tcPr>
          <w:p>
            <w:pPr>
              <w:keepNext/>
              <w:widowControl w:val="false"/>
              <w:spacing w:after="0" w:line="240" w:lineRule="auto"/>
              <w:jc w:val="center"/>
              <w:rPr>
                <w:b/>
                <w:sz w:val="20"/>
                <w:szCs w:val="20"/>
              </w:rPr>
            </w:pPr>
            <w:r>
              <w:rPr>
                <w:b/>
                <w:sz w:val="20"/>
                <w:szCs w:val="20"/>
              </w:rPr>
              <w:t>Goal Name</w:t>
            </w:r>
          </w:p>
        </w:tc>
        <w:tc>
          <w:tcPr>
            <w:tcW w:w="582" w:type="dxa"/>
          </w:tcPr>
          <w:p>
            <w:pPr>
              <w:keepNext/>
              <w:widowControl w:val="false"/>
              <w:spacing w:after="0" w:line="240" w:lineRule="auto"/>
              <w:jc w:val="center"/>
              <w:rPr>
                <w:b/>
                <w:sz w:val="20"/>
                <w:szCs w:val="20"/>
              </w:rPr>
            </w:pPr>
            <w:r>
              <w:rPr>
                <w:b/>
                <w:sz w:val="20"/>
                <w:szCs w:val="20"/>
              </w:rPr>
              <w:t>Start Year</w:t>
            </w:r>
          </w:p>
        </w:tc>
        <w:tc>
          <w:tcPr>
            <w:tcW w:w="555" w:type="dxa"/>
          </w:tcPr>
          <w:p>
            <w:pPr>
              <w:keepNext/>
              <w:widowControl w:val="false"/>
              <w:spacing w:after="0" w:line="240" w:lineRule="auto"/>
              <w:jc w:val="center"/>
              <w:rPr>
                <w:b/>
                <w:sz w:val="20"/>
                <w:szCs w:val="20"/>
              </w:rPr>
            </w:pPr>
            <w:r>
              <w:rPr>
                <w:b/>
                <w:sz w:val="20"/>
                <w:szCs w:val="20"/>
              </w:rPr>
              <w:t>End Year</w:t>
            </w:r>
          </w:p>
        </w:tc>
        <w:tc>
          <w:tcPr>
            <w:tcW w:w="1236" w:type="dxa"/>
          </w:tcPr>
          <w:p>
            <w:pPr>
              <w:keepNext/>
              <w:widowControl w:val="false"/>
              <w:spacing w:after="0" w:line="240" w:lineRule="auto"/>
              <w:jc w:val="center"/>
              <w:rPr>
                <w:b/>
                <w:sz w:val="20"/>
                <w:szCs w:val="20"/>
              </w:rPr>
            </w:pPr>
            <w:r>
              <w:rPr>
                <w:b/>
                <w:sz w:val="20"/>
                <w:szCs w:val="20"/>
              </w:rPr>
              <w:t>Category</w:t>
            </w:r>
          </w:p>
        </w:tc>
        <w:tc>
          <w:tcPr>
            <w:tcW w:w="1287" w:type="dxa"/>
          </w:tcPr>
          <w:p>
            <w:pPr>
              <w:keepNext/>
              <w:widowControl w:val="false"/>
              <w:spacing w:after="0" w:line="240" w:lineRule="auto"/>
              <w:jc w:val="center"/>
              <w:rPr>
                <w:b/>
                <w:sz w:val="20"/>
                <w:szCs w:val="20"/>
              </w:rPr>
            </w:pPr>
            <w:r>
              <w:rPr>
                <w:b/>
                <w:sz w:val="20"/>
                <w:szCs w:val="20"/>
              </w:rPr>
              <w:t>Geographic Area</w:t>
            </w:r>
          </w:p>
        </w:tc>
        <w:tc>
          <w:tcPr>
            <w:tcW w:w="1172" w:type="dxa"/>
          </w:tcPr>
          <w:p>
            <w:pPr>
              <w:keepNext/>
              <w:widowControl w:val="false"/>
              <w:spacing w:after="0" w:line="240" w:lineRule="auto"/>
              <w:jc w:val="center"/>
              <w:rPr>
                <w:b/>
                <w:sz w:val="20"/>
                <w:szCs w:val="20"/>
              </w:rPr>
            </w:pPr>
            <w:r>
              <w:rPr>
                <w:b/>
                <w:sz w:val="20"/>
                <w:szCs w:val="20"/>
              </w:rPr>
              <w:t>Needs Addressed</w:t>
            </w:r>
          </w:p>
        </w:tc>
        <w:tc>
          <w:tcPr>
            <w:tcW w:w="2345" w:type="dxa"/>
          </w:tcPr>
          <w:p>
            <w:pPr>
              <w:keepNext/>
              <w:widowControl w:val="false"/>
              <w:spacing w:after="0" w:line="240" w:lineRule="auto"/>
              <w:jc w:val="center"/>
              <w:rPr>
                <w:b/>
                <w:sz w:val="20"/>
                <w:szCs w:val="20"/>
              </w:rPr>
            </w:pPr>
            <w:r>
              <w:rPr>
                <w:b/>
                <w:sz w:val="20"/>
                <w:szCs w:val="20"/>
              </w:rPr>
              <w:t>Funding</w:t>
            </w:r>
          </w:p>
        </w:tc>
        <w:tc>
          <w:tcPr>
            <w:tcW w:w="3283" w:type="dxa"/>
          </w:tcPr>
          <w:p>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right"/>
            </w:pPr>
            <w:r>
              <w:rPr>
                <w:rFonts w:ascii="Calibri" w:hAnsi="Calibri"/>
                <w:color w:val="000000"/>
                <w:sz w:val="22"/>
              </w:rPr>
              <w:t xml:space="preserve">2021</w:t>
            </w:r>
          </w:p>
        </w:tc>
        <w:tc>
          <w:tcPr>
            <w:vAlign w:val="top"/>
          </w:tcPr>
          <w:p>
            <w:pPr>
              <w:spacing w:beforeAutospacing="true" w:afterAutospacing="true"/>
              <w:jc w:val="right"/>
            </w:pPr>
            <w:r>
              <w:rPr>
                <w:rFonts w:ascii="Calibri" w:hAnsi="Calibri"/>
                <w:color w:val="000000"/>
                <w:sz w:val="22"/>
              </w:rPr>
              <w:t xml:space="preserve">2025</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CDBG Admin/HIP Direct Project Costs/RLF and HOME Admin/Project Delivery Costs</w:t>
            </w:r>
          </w:p>
        </w:tc>
        <w:tc>
          <w:tcPr>
            <w:vAlign w:val="top"/>
          </w:tcPr>
          <w:p>
            <w:pPr>
              <w:spacing w:beforeAutospacing="true" w:afterAutospacing="true"/>
              <w:jc w:val="left"/>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CDBG ADMINISTRATION &amp; PLANNING</w:t>
            </w:r>
            <w:r>
              <w:rPr>
                <w:rFonts w:ascii="Calibri" w:hAnsi="Calibri"/>
                <w:color w:val="000000"/>
                <w:sz w:val="22"/>
              </w:rPr>
              <w:br/>
              <w:t xml:space="preserve"/>
            </w:r>
            <w:r>
              <w:rPr>
                <w:rFonts w:ascii="Calibri" w:hAnsi="Calibri"/>
                <w:color w:val="000000"/>
                <w:sz w:val="22"/>
              </w:rPr>
              <w:t xml:space="preserve">CDBG HOUSING/MHR</w:t>
            </w:r>
            <w:r>
              <w:rPr>
                <w:rFonts w:ascii="Calibri" w:hAnsi="Calibri"/>
                <w:color w:val="000000"/>
                <w:sz w:val="22"/>
              </w:rPr>
              <w:br/>
              <w:t xml:space="preserve"/>
            </w:r>
            <w:r>
              <w:rPr>
                <w:rFonts w:ascii="Calibri" w:hAnsi="Calibri"/>
                <w:color w:val="000000"/>
                <w:sz w:val="22"/>
              </w:rPr>
              <w:t xml:space="preserve">CDBG HOUSING/MHMHR</w:t>
            </w:r>
            <w:r>
              <w:rPr>
                <w:rFonts w:ascii="Calibri" w:hAnsi="Calibri"/>
                <w:color w:val="000000"/>
                <w:sz w:val="22"/>
              </w:rPr>
              <w:br/>
              <w:t xml:space="preserve"/>
            </w:r>
            <w:r>
              <w:rPr>
                <w:rFonts w:ascii="Calibri" w:hAnsi="Calibri"/>
                <w:color w:val="000000"/>
                <w:sz w:val="22"/>
              </w:rPr>
              <w:t xml:space="preserve">CDBG HOUSING/HSG REHAB</w:t>
            </w:r>
            <w:r>
              <w:rPr>
                <w:rFonts w:ascii="Calibri" w:hAnsi="Calibri"/>
                <w:color w:val="000000"/>
                <w:sz w:val="22"/>
              </w:rPr>
              <w:br/>
              <w:t xml:space="preserve"/>
            </w:r>
            <w:r>
              <w:rPr>
                <w:rFonts w:ascii="Calibri" w:hAnsi="Calibri"/>
                <w:color w:val="000000"/>
                <w:sz w:val="22"/>
              </w:rPr>
              <w:t xml:space="preserve">CDBG HOUSING/RLF (EST)</w:t>
            </w:r>
            <w:r>
              <w:rPr>
                <w:rFonts w:ascii="Calibri" w:hAnsi="Calibri"/>
                <w:color w:val="000000"/>
                <w:sz w:val="22"/>
              </w:rPr>
              <w:br/>
              <w:t xml:space="preserve"/>
            </w:r>
            <w:r>
              <w:rPr>
                <w:rFonts w:ascii="Calibri" w:hAnsi="Calibri"/>
                <w:color w:val="000000"/>
                <w:sz w:val="22"/>
              </w:rPr>
              <w:t xml:space="preserve">HOME GENERAL PROGRAM ADMINISTRATION</w:t>
            </w:r>
            <w:r>
              <w:rPr>
                <w:rFonts w:ascii="Calibri" w:hAnsi="Calibri"/>
                <w:color w:val="000000"/>
                <w:sz w:val="22"/>
              </w:rPr>
              <w:br/>
              <w:t xml:space="preserve"/>
            </w:r>
            <w:r>
              <w:rPr>
                <w:rFonts w:ascii="Calibri" w:hAnsi="Calibri"/>
                <w:color w:val="000000"/>
                <w:sz w:val="22"/>
              </w:rPr>
              <w:t xml:space="preserve">HOME/HOMEBUYER</w:t>
            </w:r>
            <w:r>
              <w:rPr>
                <w:rFonts w:ascii="Calibri" w:hAnsi="Calibri"/>
                <w:color w:val="000000"/>
                <w:sz w:val="22"/>
              </w:rPr>
              <w:br/>
              <w:t xml:space="preserve"/>
            </w:r>
            <w:r>
              <w:rPr>
                <w:rFonts w:ascii="Calibri" w:hAnsi="Calibri"/>
                <w:color w:val="000000"/>
                <w:sz w:val="22"/>
              </w:rPr>
              <w:t xml:space="preserve">HOME/HOUSING REHAB</w:t>
            </w:r>
            <w:r>
              <w:rPr>
                <w:rFonts w:ascii="Calibri" w:hAnsi="Calibri"/>
                <w:color w:val="000000"/>
                <w:sz w:val="22"/>
              </w:rPr>
              <w:br/>
              <w:t xml:space="preserve"/>
            </w:r>
            <w:r>
              <w:rPr>
                <w:rFonts w:ascii="Calibri" w:hAnsi="Calibri"/>
                <w:color w:val="000000"/>
                <w:sz w:val="22"/>
              </w:rPr>
              <w:t xml:space="preserve">HOME/RENTAL DEVELOPMENT</w:t>
            </w:r>
            <w:r>
              <w:rPr>
                <w:rFonts w:ascii="Calibri" w:hAnsi="Calibri"/>
                <w:color w:val="000000"/>
                <w:sz w:val="22"/>
              </w:rPr>
              <w:br/>
              <w:t xml:space="preserve"/>
            </w:r>
            <w:r>
              <w:rPr>
                <w:rFonts w:ascii="Calibri" w:hAnsi="Calibri"/>
                <w:color w:val="000000"/>
                <w:sz w:val="22"/>
              </w:rPr>
              <w:t xml:space="preserve">HOME/RENTAL ASSISTANCE</w:t>
            </w:r>
          </w:p>
        </w:tc>
        <w:tc>
          <w:tcPr>
            <w:vAlign w:val="top"/>
          </w:tcPr>
          <w:p>
            <w:pPr>
              <w:spacing w:beforeAutospacing="true" w:afterAutospacing="true"/>
              <w:jc w:val="right"/>
            </w:pPr>
            <w:r>
              <w:rPr>
                <w:rFonts w:ascii="Calibri" w:hAnsi="Calibri"/>
                <w:color w:val="000000"/>
                <w:sz w:val="22"/>
              </w:rPr>
              <w:t xml:space="preserve">CDBG: $3,069,034</w:t>
            </w:r>
            <w:r>
              <w:rPr>
                <w:rFonts w:ascii="Calibri" w:hAnsi="Calibri"/>
                <w:color w:val="000000"/>
                <w:sz w:val="22"/>
              </w:rPr>
              <w:br/>
              <w:t xml:space="preserve"/>
            </w:r>
            <w:r>
              <w:rPr>
                <w:rFonts w:ascii="Calibri" w:hAnsi="Calibri"/>
                <w:color w:val="000000"/>
                <w:sz w:val="22"/>
              </w:rPr>
              <w:t xml:space="preserve">HOME: $4,268,418</w:t>
            </w:r>
          </w:p>
        </w:tc>
        <w:tc>
          <w:tcPr>
            <w:vAlign w:val="top"/>
          </w:tcPr>
          <w:p>
            <w:pPr>
              <w:spacing w:beforeAutospacing="true" w:afterAutospacing="true"/>
              <w:jc w:val="left"/>
            </w:pPr>
            <w:r>
              <w:rPr>
                <w:rFonts w:ascii="Calibri" w:hAnsi="Calibri"/>
                <w:color w:val="000000"/>
                <w:sz w:val="22"/>
              </w:rPr>
              <w:t xml:space="preserve">Rental units constructed: 25 Household Housing Unit</w:t>
            </w:r>
            <w:r>
              <w:rPr>
                <w:rFonts w:ascii="Calibri" w:hAnsi="Calibri"/>
                <w:color w:val="000000"/>
                <w:sz w:val="22"/>
              </w:rPr>
              <w:br/>
              <w:t xml:space="preserve"/>
            </w:r>
            <w:r>
              <w:rPr>
                <w:rFonts w:ascii="Calibri" w:hAnsi="Calibri"/>
                <w:color w:val="000000"/>
                <w:sz w:val="22"/>
              </w:rPr>
              <w:t xml:space="preserve">Rental units rehabilitated: 25 Household Housing Unit</w:t>
            </w:r>
            <w:r>
              <w:rPr>
                <w:rFonts w:ascii="Calibri" w:hAnsi="Calibri"/>
                <w:color w:val="000000"/>
                <w:sz w:val="22"/>
              </w:rPr>
              <w:br/>
              <w:t xml:space="preserve"/>
            </w:r>
            <w:r>
              <w:rPr>
                <w:rFonts w:ascii="Calibri" w:hAnsi="Calibri"/>
                <w:color w:val="000000"/>
                <w:sz w:val="22"/>
              </w:rPr>
              <w:t xml:space="preserve">Housing Code Enforcement/Foreclosed Property Care: 300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2</w:t>
            </w:r>
          </w:p>
        </w:tc>
        <w:tc>
          <w:tcPr>
            <w:vAlign w:val="top"/>
          </w:tcPr>
          <w:p>
            <w:pPr>
              <w:spacing w:beforeAutospacing="true" w:afterAutospacing="true"/>
              <w:jc w:val="left"/>
            </w:pPr>
            <w:r>
              <w:rPr>
                <w:rFonts w:ascii="Calibri" w:hAnsi="Calibri"/>
                <w:color w:val="000000"/>
                <w:sz w:val="22"/>
              </w:rPr>
              <w:t xml:space="preserve">Facilities and Services</w:t>
            </w:r>
          </w:p>
        </w:tc>
        <w:tc>
          <w:tcPr>
            <w:vAlign w:val="top"/>
          </w:tcPr>
          <w:p>
            <w:pPr>
              <w:spacing w:beforeAutospacing="true" w:afterAutospacing="true"/>
              <w:jc w:val="right"/>
            </w:pPr>
            <w:r>
              <w:rPr>
                <w:rFonts w:ascii="Calibri" w:hAnsi="Calibri"/>
                <w:color w:val="000000"/>
                <w:sz w:val="22"/>
              </w:rPr>
              <w:t xml:space="preserve">2021</w:t>
            </w:r>
          </w:p>
        </w:tc>
        <w:tc>
          <w:tcPr>
            <w:vAlign w:val="top"/>
          </w:tcPr>
          <w:p>
            <w:pPr>
              <w:spacing w:beforeAutospacing="true" w:afterAutospacing="true"/>
              <w:jc w:val="right"/>
            </w:pPr>
            <w:r>
              <w:rPr>
                <w:rFonts w:ascii="Calibri" w:hAnsi="Calibri"/>
                <w:color w:val="000000"/>
                <w:sz w:val="22"/>
              </w:rPr>
              <w:t xml:space="preserve">2025</w:t>
            </w:r>
          </w:p>
        </w:tc>
        <w:tc>
          <w:tcPr>
            <w:vAlign w:val="top"/>
          </w:tcPr>
          <w:p>
            <w:pPr>
              <w:spacing w:beforeAutospacing="true" w:afterAutospacing="true"/>
              <w:jc w:val="left"/>
            </w:pPr>
            <w:r>
              <w:rPr>
                <w:rFonts w:ascii="Calibri" w:hAnsi="Calibri"/>
                <w:color w:val="000000"/>
                <w:sz w:val="22"/>
              </w:rPr>
              <w:t xml:space="preserve">Non-Housing Community Development</w:t>
            </w:r>
            <w:r>
              <w:rPr>
                <w:rFonts w:ascii="Calibri" w:hAnsi="Calibri"/>
                <w:color w:val="000000"/>
                <w:sz w:val="22"/>
              </w:rPr>
              <w:br/>
              <w:t xml:space="preserve"/>
            </w:r>
            <w:r>
              <w:rPr>
                <w:rFonts w:ascii="Calibri" w:hAnsi="Calibri"/>
                <w:color w:val="000000"/>
                <w:sz w:val="22"/>
              </w:rPr>
              <w:t xml:space="preserve">CDBG Administration &amp; Planning</w:t>
            </w:r>
          </w:p>
        </w:tc>
        <w:tc>
          <w:tcPr>
            <w:vAlign w:val="top"/>
          </w:tcPr>
          <w:p>
            <w:pPr>
              <w:spacing w:beforeAutospacing="true" w:afterAutospacing="true"/>
              <w:jc w:val="left"/>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CDBG ADMINISTRATION &amp; PLANNING</w:t>
            </w:r>
            <w:r>
              <w:rPr>
                <w:rFonts w:ascii="Calibri" w:hAnsi="Calibri"/>
                <w:color w:val="000000"/>
                <w:sz w:val="22"/>
              </w:rPr>
              <w:br/>
              <w:t xml:space="preserve"/>
            </w:r>
            <w:r>
              <w:rPr>
                <w:rFonts w:ascii="Calibri" w:hAnsi="Calibri"/>
                <w:color w:val="000000"/>
                <w:sz w:val="22"/>
              </w:rPr>
              <w:t xml:space="preserve">CDBG CLEARANCE &amp; DEMO</w:t>
            </w:r>
            <w:r>
              <w:rPr>
                <w:rFonts w:ascii="Calibri" w:hAnsi="Calibri"/>
                <w:color w:val="000000"/>
                <w:sz w:val="22"/>
              </w:rPr>
              <w:br/>
              <w:t xml:space="preserve"/>
            </w:r>
            <w:r>
              <w:rPr>
                <w:rFonts w:ascii="Calibri" w:hAnsi="Calibri"/>
                <w:color w:val="000000"/>
                <w:sz w:val="22"/>
              </w:rPr>
              <w:t xml:space="preserve">CDBG CODE ENFORCEMENT</w:t>
            </w:r>
            <w:r>
              <w:rPr>
                <w:rFonts w:ascii="Calibri" w:hAnsi="Calibri"/>
                <w:color w:val="000000"/>
                <w:sz w:val="22"/>
              </w:rPr>
              <w:br/>
              <w:t xml:space="preserve"/>
            </w:r>
            <w:r>
              <w:rPr>
                <w:rFonts w:ascii="Calibri" w:hAnsi="Calibri"/>
                <w:color w:val="000000"/>
                <w:sz w:val="22"/>
              </w:rPr>
              <w:t xml:space="preserve">CDBG PF &amp; INFRASTRUCTURE</w:t>
            </w:r>
            <w:r>
              <w:rPr>
                <w:rFonts w:ascii="Calibri" w:hAnsi="Calibri"/>
                <w:color w:val="000000"/>
                <w:sz w:val="22"/>
              </w:rPr>
              <w:br/>
              <w:t xml:space="preserve"/>
            </w:r>
            <w:r>
              <w:rPr>
                <w:rFonts w:ascii="Calibri" w:hAnsi="Calibri"/>
                <w:color w:val="000000"/>
                <w:sz w:val="22"/>
              </w:rPr>
              <w:t xml:space="preserve">CDBG PS/HSG COUNSELING</w:t>
            </w:r>
            <w:r>
              <w:rPr>
                <w:rFonts w:ascii="Calibri" w:hAnsi="Calibri"/>
                <w:color w:val="000000"/>
                <w:sz w:val="22"/>
              </w:rPr>
              <w:br/>
              <w:t xml:space="preserve"/>
            </w:r>
            <w:r>
              <w:rPr>
                <w:rFonts w:ascii="Calibri" w:hAnsi="Calibri"/>
                <w:color w:val="000000"/>
                <w:sz w:val="22"/>
              </w:rPr>
              <w:t xml:space="preserve">CDBG PS/BATTERED &amp; ABUSED</w:t>
            </w:r>
            <w:r>
              <w:rPr>
                <w:rFonts w:ascii="Calibri" w:hAnsi="Calibri"/>
                <w:color w:val="000000"/>
                <w:sz w:val="22"/>
              </w:rPr>
              <w:br/>
              <w:t xml:space="preserve"/>
            </w:r>
            <w:r>
              <w:rPr>
                <w:rFonts w:ascii="Calibri" w:hAnsi="Calibri"/>
                <w:color w:val="000000"/>
                <w:sz w:val="22"/>
              </w:rPr>
              <w:t xml:space="preserve">CDBG PS/PUBLIC SERVICES</w:t>
            </w:r>
            <w:r>
              <w:rPr>
                <w:rFonts w:ascii="Calibri" w:hAnsi="Calibri"/>
                <w:color w:val="000000"/>
                <w:sz w:val="22"/>
              </w:rPr>
              <w:br/>
              <w:t xml:space="preserve"/>
            </w:r>
            <w:r>
              <w:rPr>
                <w:rFonts w:ascii="Calibri" w:hAnsi="Calibri"/>
                <w:color w:val="000000"/>
                <w:sz w:val="22"/>
              </w:rPr>
              <w:t xml:space="preserve">HESG GENERAL PROGRAM ADMINISTRATION</w:t>
            </w:r>
            <w:r>
              <w:rPr>
                <w:rFonts w:ascii="Calibri" w:hAnsi="Calibri"/>
                <w:color w:val="000000"/>
                <w:sz w:val="22"/>
              </w:rPr>
              <w:br/>
              <w:t xml:space="preserve"/>
            </w:r>
            <w:r>
              <w:rPr>
                <w:rFonts w:ascii="Calibri" w:hAnsi="Calibri"/>
                <w:color w:val="000000"/>
                <w:sz w:val="22"/>
              </w:rPr>
              <w:t xml:space="preserve">HESG HOMELESSNESS</w:t>
            </w:r>
          </w:p>
        </w:tc>
        <w:tc>
          <w:tcPr>
            <w:vAlign w:val="top"/>
          </w:tcPr>
          <w:p>
            <w:pPr>
              <w:spacing w:beforeAutospacing="true" w:afterAutospacing="true"/>
              <w:jc w:val="right"/>
            </w:pPr>
            <w:r>
              <w:rPr>
                <w:rFonts w:ascii="Calibri" w:hAnsi="Calibri"/>
                <w:color w:val="000000"/>
                <w:sz w:val="22"/>
              </w:rPr>
              <w:t xml:space="preserve">CDBG: $2,481,456</w:t>
            </w:r>
            <w:r>
              <w:rPr>
                <w:rFonts w:ascii="Calibri" w:hAnsi="Calibri"/>
                <w:color w:val="000000"/>
                <w:sz w:val="22"/>
              </w:rPr>
              <w:br/>
              <w:t xml:space="preserve"/>
            </w:r>
            <w:r>
              <w:rPr>
                <w:rFonts w:ascii="Calibri" w:hAnsi="Calibri"/>
                <w:color w:val="000000"/>
                <w:sz w:val="22"/>
              </w:rPr>
              <w:t xml:space="preserve">ESG: $327,744</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300000 Persons Assisted</w:t>
            </w:r>
            <w:r>
              <w:rPr>
                <w:rFonts w:ascii="Calibri" w:hAnsi="Calibri"/>
                <w:color w:val="000000"/>
                <w:sz w:val="22"/>
              </w:rPr>
              <w:br/>
              <w:t xml:space="preserve"/>
            </w:r>
            <w:r>
              <w:rPr>
                <w:rFonts w:ascii="Calibri" w:hAnsi="Calibri"/>
                <w:color w:val="000000"/>
                <w:sz w:val="22"/>
              </w:rPr>
              <w:t xml:space="preserve">Public Facility or Infrastructure Activities for Low/Moderate Income Housing Benefit: 2000 Households Assisted</w:t>
            </w:r>
            <w:r>
              <w:rPr>
                <w:rFonts w:ascii="Calibri" w:hAnsi="Calibri"/>
                <w:color w:val="000000"/>
                <w:sz w:val="22"/>
              </w:rPr>
              <w:br/>
              <w:t xml:space="preserve"/>
            </w:r>
            <w:r>
              <w:rPr>
                <w:rFonts w:ascii="Calibri" w:hAnsi="Calibri"/>
                <w:color w:val="000000"/>
                <w:sz w:val="22"/>
              </w:rPr>
              <w:t xml:space="preserve">Homeless Person Overnight Shelter: 280 Persons Assisted</w:t>
            </w:r>
            <w:r>
              <w:rPr>
                <w:rFonts w:ascii="Calibri" w:hAnsi="Calibri"/>
                <w:color w:val="000000"/>
                <w:sz w:val="22"/>
              </w:rPr>
              <w:br/>
              <w:t xml:space="preserve"/>
            </w:r>
            <w:r>
              <w:rPr>
                <w:rFonts w:ascii="Calibri" w:hAnsi="Calibri"/>
                <w:color w:val="000000"/>
                <w:sz w:val="22"/>
              </w:rPr>
              <w:t xml:space="preserve">Homelessness Prevention: 100 Persons Assisted</w:t>
            </w:r>
            <w:r>
              <w:rPr>
                <w:rFonts w:ascii="Calibri" w:hAnsi="Calibri"/>
                <w:color w:val="000000"/>
                <w:sz w:val="22"/>
              </w:rPr>
              <w:br/>
              <w:t xml:space="preserve"/>
            </w:r>
            <w:r>
              <w:rPr>
                <w:rFonts w:ascii="Calibri" w:hAnsi="Calibri"/>
                <w:color w:val="000000"/>
                <w:sz w:val="22"/>
              </w:rPr>
              <w:t xml:space="preserve">Buildings Demolished: 25 Buildings</w:t>
            </w:r>
            <w:r>
              <w:rPr>
                <w:rFonts w:ascii="Calibri" w:hAnsi="Calibri"/>
                <w:color w:val="000000"/>
                <w:sz w:val="22"/>
              </w:rPr>
              <w:br/>
              <w:t xml:space="preserve"/>
            </w:r>
            <w:r>
              <w:rPr>
                <w:rFonts w:ascii="Calibri" w:hAnsi="Calibri"/>
                <w:color w:val="000000"/>
                <w:sz w:val="22"/>
              </w:rPr>
              <w:t xml:space="preserve">Housing Code Enforcement/Foreclosed Property Care: 36000 Household Housing Unit</w:t>
            </w:r>
            <w:r>
              <w:rPr>
                <w:rFonts w:ascii="Calibri" w:hAnsi="Calibri"/>
                <w:color w:val="000000"/>
                <w:sz w:val="22"/>
              </w:rPr>
              <w:br/>
              <w:t xml:space="preserve"/>
            </w:r>
            <w:r>
              <w:rPr>
                <w:rFonts w:ascii="Calibri" w:hAnsi="Calibri"/>
                <w:color w:val="000000"/>
                <w:sz w:val="22"/>
              </w:rPr>
              <w:t xml:space="preserve">Other: 2 Other</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Discrimination</w:t>
            </w:r>
          </w:p>
        </w:tc>
        <w:tc>
          <w:tcPr>
            <w:vAlign w:val="top"/>
          </w:tcPr>
          <w:p>
            <w:pPr>
              <w:spacing w:beforeAutospacing="true" w:afterAutospacing="true"/>
              <w:jc w:val="right"/>
            </w:pPr>
            <w:r>
              <w:rPr>
                <w:rFonts w:ascii="Calibri" w:hAnsi="Calibri"/>
                <w:color w:val="000000"/>
                <w:sz w:val="22"/>
              </w:rPr>
              <w:t xml:space="preserve">2021</w:t>
            </w:r>
          </w:p>
        </w:tc>
        <w:tc>
          <w:tcPr>
            <w:vAlign w:val="top"/>
          </w:tcPr>
          <w:p>
            <w:pPr>
              <w:spacing w:beforeAutospacing="true" w:afterAutospacing="true"/>
              <w:jc w:val="right"/>
            </w:pPr>
            <w:r>
              <w:rPr>
                <w:rFonts w:ascii="Calibri" w:hAnsi="Calibri"/>
                <w:color w:val="000000"/>
                <w:sz w:val="22"/>
              </w:rPr>
              <w:t xml:space="preserve">2025</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r>
              <w:rPr>
                <w:rFonts w:ascii="Calibri" w:hAnsi="Calibri"/>
                <w:color w:val="000000"/>
                <w:sz w:val="22"/>
              </w:rPr>
              <w:br/>
              <w:t xml:space="preserve"/>
            </w:r>
            <w:r>
              <w:rPr>
                <w:rFonts w:ascii="Calibri" w:hAnsi="Calibri"/>
                <w:color w:val="000000"/>
                <w:sz w:val="22"/>
              </w:rPr>
              <w:t xml:space="preserve">CDBG Administration &amp; Planning</w:t>
            </w:r>
          </w:p>
        </w:tc>
        <w:tc>
          <w:tcPr>
            <w:vAlign w:val="top"/>
          </w:tcPr>
          <w:p>
            <w:pPr>
              <w:spacing w:beforeAutospacing="true" w:afterAutospacing="true"/>
              <w:jc w:val="left"/>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CDBG ADMINISTRATION &amp; PLANNING</w:t>
            </w:r>
            <w:r>
              <w:rPr>
                <w:rFonts w:ascii="Calibri" w:hAnsi="Calibri"/>
                <w:color w:val="000000"/>
                <w:sz w:val="22"/>
              </w:rPr>
              <w:br/>
              <w:t xml:space="preserve"/>
            </w:r>
            <w:r>
              <w:rPr>
                <w:rFonts w:ascii="Calibri" w:hAnsi="Calibri"/>
                <w:color w:val="000000"/>
                <w:sz w:val="22"/>
              </w:rPr>
              <w:t xml:space="preserve">CDBG CODE ENFORCEMENT</w:t>
            </w:r>
            <w:r>
              <w:rPr>
                <w:rFonts w:ascii="Calibri" w:hAnsi="Calibri"/>
                <w:color w:val="000000"/>
                <w:sz w:val="22"/>
              </w:rPr>
              <w:br/>
              <w:t xml:space="preserve"/>
            </w:r>
            <w:r>
              <w:rPr>
                <w:rFonts w:ascii="Calibri" w:hAnsi="Calibri"/>
                <w:color w:val="000000"/>
                <w:sz w:val="22"/>
              </w:rPr>
              <w:t xml:space="preserve">CDBG HOUSING/MHR</w:t>
            </w:r>
            <w:r>
              <w:rPr>
                <w:rFonts w:ascii="Calibri" w:hAnsi="Calibri"/>
                <w:color w:val="000000"/>
                <w:sz w:val="22"/>
              </w:rPr>
              <w:br/>
              <w:t xml:space="preserve"/>
            </w:r>
            <w:r>
              <w:rPr>
                <w:rFonts w:ascii="Calibri" w:hAnsi="Calibri"/>
                <w:color w:val="000000"/>
                <w:sz w:val="22"/>
              </w:rPr>
              <w:t xml:space="preserve">CDBG HOUSING/MHMHR</w:t>
            </w:r>
            <w:r>
              <w:rPr>
                <w:rFonts w:ascii="Calibri" w:hAnsi="Calibri"/>
                <w:color w:val="000000"/>
                <w:sz w:val="22"/>
              </w:rPr>
              <w:br/>
              <w:t xml:space="preserve"/>
            </w:r>
            <w:r>
              <w:rPr>
                <w:rFonts w:ascii="Calibri" w:hAnsi="Calibri"/>
                <w:color w:val="000000"/>
                <w:sz w:val="22"/>
              </w:rPr>
              <w:t xml:space="preserve">CDBG HOUSING/HSG REHAB</w:t>
            </w:r>
            <w:r>
              <w:rPr>
                <w:rFonts w:ascii="Calibri" w:hAnsi="Calibri"/>
                <w:color w:val="000000"/>
                <w:sz w:val="22"/>
              </w:rPr>
              <w:br/>
              <w:t xml:space="preserve"/>
            </w:r>
            <w:r>
              <w:rPr>
                <w:rFonts w:ascii="Calibri" w:hAnsi="Calibri"/>
                <w:color w:val="000000"/>
                <w:sz w:val="22"/>
              </w:rPr>
              <w:t xml:space="preserve">CDBG HOUSING/RLF (EST)</w:t>
            </w:r>
            <w:r>
              <w:rPr>
                <w:rFonts w:ascii="Calibri" w:hAnsi="Calibri"/>
                <w:color w:val="000000"/>
                <w:sz w:val="22"/>
              </w:rPr>
              <w:br/>
              <w:t xml:space="preserve"/>
            </w:r>
            <w:r>
              <w:rPr>
                <w:rFonts w:ascii="Calibri" w:hAnsi="Calibri"/>
                <w:color w:val="000000"/>
                <w:sz w:val="22"/>
              </w:rPr>
              <w:t xml:space="preserve">CDBG PF &amp; INFRASTRUCTURE</w:t>
            </w:r>
            <w:r>
              <w:rPr>
                <w:rFonts w:ascii="Calibri" w:hAnsi="Calibri"/>
                <w:color w:val="000000"/>
                <w:sz w:val="22"/>
              </w:rPr>
              <w:br/>
              <w:t xml:space="preserve"/>
            </w:r>
            <w:r>
              <w:rPr>
                <w:rFonts w:ascii="Calibri" w:hAnsi="Calibri"/>
                <w:color w:val="000000"/>
                <w:sz w:val="22"/>
              </w:rPr>
              <w:t xml:space="preserve">CDBG PS/HSG COUNSELING</w:t>
            </w:r>
            <w:r>
              <w:rPr>
                <w:rFonts w:ascii="Calibri" w:hAnsi="Calibri"/>
                <w:color w:val="000000"/>
                <w:sz w:val="22"/>
              </w:rPr>
              <w:br/>
              <w:t xml:space="preserve"/>
            </w:r>
            <w:r>
              <w:rPr>
                <w:rFonts w:ascii="Calibri" w:hAnsi="Calibri"/>
                <w:color w:val="000000"/>
                <w:sz w:val="22"/>
              </w:rPr>
              <w:t xml:space="preserve">CDBG PS/BATTERED &amp; ABUSED</w:t>
            </w:r>
            <w:r>
              <w:rPr>
                <w:rFonts w:ascii="Calibri" w:hAnsi="Calibri"/>
                <w:color w:val="000000"/>
                <w:sz w:val="22"/>
              </w:rPr>
              <w:br/>
              <w:t xml:space="preserve"/>
            </w:r>
            <w:r>
              <w:rPr>
                <w:rFonts w:ascii="Calibri" w:hAnsi="Calibri"/>
                <w:color w:val="000000"/>
                <w:sz w:val="22"/>
              </w:rPr>
              <w:t xml:space="preserve">CDBG PS/PUBLIC SERVICES</w:t>
            </w:r>
            <w:r>
              <w:rPr>
                <w:rFonts w:ascii="Calibri" w:hAnsi="Calibri"/>
                <w:color w:val="000000"/>
                <w:sz w:val="22"/>
              </w:rPr>
              <w:br/>
              <w:t xml:space="preserve"/>
            </w:r>
            <w:r>
              <w:rPr>
                <w:rFonts w:ascii="Calibri" w:hAnsi="Calibri"/>
                <w:color w:val="000000"/>
                <w:sz w:val="22"/>
              </w:rPr>
              <w:t xml:space="preserve">HESG GENERAL PROGRAM ADMINISTRATION</w:t>
            </w:r>
            <w:r>
              <w:rPr>
                <w:rFonts w:ascii="Calibri" w:hAnsi="Calibri"/>
                <w:color w:val="000000"/>
                <w:sz w:val="22"/>
              </w:rPr>
              <w:br/>
              <w:t xml:space="preserve"/>
            </w:r>
            <w:r>
              <w:rPr>
                <w:rFonts w:ascii="Calibri" w:hAnsi="Calibri"/>
                <w:color w:val="000000"/>
                <w:sz w:val="22"/>
              </w:rPr>
              <w:t xml:space="preserve">HESG HOMELESSNESS</w:t>
            </w:r>
            <w:r>
              <w:rPr>
                <w:rFonts w:ascii="Calibri" w:hAnsi="Calibri"/>
                <w:color w:val="000000"/>
                <w:sz w:val="22"/>
              </w:rPr>
              <w:br/>
              <w:t xml:space="preserve"/>
            </w:r>
            <w:r>
              <w:rPr>
                <w:rFonts w:ascii="Calibri" w:hAnsi="Calibri"/>
                <w:color w:val="000000"/>
                <w:sz w:val="22"/>
              </w:rPr>
              <w:t xml:space="preserve">HOME GENERAL PROGRAM ADMINISTRATION</w:t>
            </w:r>
            <w:r>
              <w:rPr>
                <w:rFonts w:ascii="Calibri" w:hAnsi="Calibri"/>
                <w:color w:val="000000"/>
                <w:sz w:val="22"/>
              </w:rPr>
              <w:br/>
              <w:t xml:space="preserve"/>
            </w:r>
            <w:r>
              <w:rPr>
                <w:rFonts w:ascii="Calibri" w:hAnsi="Calibri"/>
                <w:color w:val="000000"/>
                <w:sz w:val="22"/>
              </w:rPr>
              <w:t xml:space="preserve">HOME/HOMEBUYER</w:t>
            </w:r>
            <w:r>
              <w:rPr>
                <w:rFonts w:ascii="Calibri" w:hAnsi="Calibri"/>
                <w:color w:val="000000"/>
                <w:sz w:val="22"/>
              </w:rPr>
              <w:br/>
              <w:t xml:space="preserve"/>
            </w:r>
            <w:r>
              <w:rPr>
                <w:rFonts w:ascii="Calibri" w:hAnsi="Calibri"/>
                <w:color w:val="000000"/>
                <w:sz w:val="22"/>
              </w:rPr>
              <w:t xml:space="preserve">HOME/HOUSING REHAB</w:t>
            </w:r>
            <w:r>
              <w:rPr>
                <w:rFonts w:ascii="Calibri" w:hAnsi="Calibri"/>
                <w:color w:val="000000"/>
                <w:sz w:val="22"/>
              </w:rPr>
              <w:br/>
              <w:t xml:space="preserve"/>
            </w:r>
            <w:r>
              <w:rPr>
                <w:rFonts w:ascii="Calibri" w:hAnsi="Calibri"/>
                <w:color w:val="000000"/>
                <w:sz w:val="22"/>
              </w:rPr>
              <w:t xml:space="preserve">HOME/RENTAL DEVELOPMENT</w:t>
            </w:r>
            <w:r>
              <w:rPr>
                <w:rFonts w:ascii="Calibri" w:hAnsi="Calibri"/>
                <w:color w:val="000000"/>
                <w:sz w:val="22"/>
              </w:rPr>
              <w:br/>
              <w:t xml:space="preserve"/>
            </w:r>
            <w:r>
              <w:rPr>
                <w:rFonts w:ascii="Calibri" w:hAnsi="Calibri"/>
                <w:color w:val="000000"/>
                <w:sz w:val="22"/>
              </w:rPr>
              <w:t xml:space="preserve">HOME/RENTAL ASSISTANCE</w:t>
            </w:r>
          </w:p>
        </w:tc>
        <w:tc>
          <w:tcPr>
            <w:vAlign w:val="top"/>
          </w:tcPr>
          <w:p>
            <w:pPr>
              <w:spacing w:beforeAutospacing="true" w:afterAutospacing="true"/>
              <w:jc w:val="right"/>
            </w:pPr>
            <w:r>
              <w:rPr>
                <w:rFonts w:ascii="Calibri" w:hAnsi="Calibri"/>
                <w:color w:val="000000"/>
                <w:sz w:val="22"/>
              </w:rPr>
              <w:t xml:space="preserve">CDBG: $562,320</w:t>
            </w:r>
          </w:p>
        </w:tc>
        <w:tc>
          <w:tcPr>
            <w:vAlign w:val="top"/>
          </w:tcPr>
          <w:p>
            <w:pPr>
              <w:spacing w:beforeAutospacing="true" w:afterAutospacing="true"/>
              <w:jc w:val="left"/>
            </w:pPr>
            <w:r>
              <w:rPr>
                <w:rFonts w:ascii="Calibri" w:hAnsi="Calibri"/>
                <w:color w:val="000000"/>
                <w:sz w:val="22"/>
              </w:rPr>
              <w:t xml:space="preserve">Public service activities for Low/Moderate Income Housing Benefit: 700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Community Engagement</w:t>
            </w:r>
          </w:p>
        </w:tc>
        <w:tc>
          <w:tcPr>
            <w:vAlign w:val="top"/>
          </w:tcPr>
          <w:p>
            <w:pPr>
              <w:spacing w:beforeAutospacing="true" w:afterAutospacing="true"/>
              <w:jc w:val="right"/>
            </w:pPr>
            <w:r>
              <w:rPr>
                <w:rFonts w:ascii="Calibri" w:hAnsi="Calibri"/>
                <w:color w:val="000000"/>
                <w:sz w:val="22"/>
              </w:rPr>
              <w:t xml:space="preserve">2021</w:t>
            </w:r>
          </w:p>
        </w:tc>
        <w:tc>
          <w:tcPr>
            <w:vAlign w:val="top"/>
          </w:tcPr>
          <w:p>
            <w:pPr>
              <w:spacing w:beforeAutospacing="true" w:afterAutospacing="true"/>
              <w:jc w:val="right"/>
            </w:pPr>
            <w:r>
              <w:rPr>
                <w:rFonts w:ascii="Calibri" w:hAnsi="Calibri"/>
                <w:color w:val="000000"/>
                <w:sz w:val="22"/>
              </w:rPr>
              <w:t xml:space="preserve">2025</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r>
              <w:rPr>
                <w:rFonts w:ascii="Calibri" w:hAnsi="Calibri"/>
                <w:color w:val="000000"/>
                <w:sz w:val="22"/>
              </w:rPr>
              <w:br/>
              <w:t xml:space="preserve"/>
            </w:r>
            <w:r>
              <w:rPr>
                <w:rFonts w:ascii="Calibri" w:hAnsi="Calibri"/>
                <w:color w:val="000000"/>
                <w:sz w:val="22"/>
              </w:rPr>
              <w:t xml:space="preserve">CDBG Administration &amp; Planning</w:t>
            </w:r>
          </w:p>
        </w:tc>
        <w:tc>
          <w:tcPr>
            <w:vAlign w:val="top"/>
          </w:tcPr>
          <w:p>
            <w:pPr>
              <w:spacing w:beforeAutospacing="true" w:afterAutospacing="true"/>
              <w:jc w:val="left"/>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c>
          <w:tcPr>
            <w:vAlign w:val="top"/>
          </w:tcPr>
          <w:p>
            <w:pPr>
              <w:spacing w:beforeAutospacing="true" w:afterAutospacing="true"/>
              <w:jc w:val="left"/>
            </w:pPr>
            <w:r>
              <w:rPr>
                <w:rFonts w:ascii="Calibri" w:hAnsi="Calibri"/>
                <w:color w:val="000000"/>
                <w:sz w:val="22"/>
              </w:rPr>
              <w:t xml:space="preserve">CDBG ADMINISTRATION &amp; PLANNING</w:t>
            </w:r>
            <w:r>
              <w:rPr>
                <w:rFonts w:ascii="Calibri" w:hAnsi="Calibri"/>
                <w:color w:val="000000"/>
                <w:sz w:val="22"/>
              </w:rPr>
              <w:br/>
              <w:t xml:space="preserve"/>
            </w:r>
            <w:r>
              <w:rPr>
                <w:rFonts w:ascii="Calibri" w:hAnsi="Calibri"/>
                <w:color w:val="000000"/>
                <w:sz w:val="22"/>
              </w:rPr>
              <w:t xml:space="preserve">CDBG HOUSING/MHR</w:t>
            </w:r>
            <w:r>
              <w:rPr>
                <w:rFonts w:ascii="Calibri" w:hAnsi="Calibri"/>
                <w:color w:val="000000"/>
                <w:sz w:val="22"/>
              </w:rPr>
              <w:br/>
              <w:t xml:space="preserve"/>
            </w:r>
            <w:r>
              <w:rPr>
                <w:rFonts w:ascii="Calibri" w:hAnsi="Calibri"/>
                <w:color w:val="000000"/>
                <w:sz w:val="22"/>
              </w:rPr>
              <w:t xml:space="preserve">CDBG HOUSING/MHMHR</w:t>
            </w:r>
            <w:r>
              <w:rPr>
                <w:rFonts w:ascii="Calibri" w:hAnsi="Calibri"/>
                <w:color w:val="000000"/>
                <w:sz w:val="22"/>
              </w:rPr>
              <w:br/>
              <w:t xml:space="preserve"/>
            </w:r>
            <w:r>
              <w:rPr>
                <w:rFonts w:ascii="Calibri" w:hAnsi="Calibri"/>
                <w:color w:val="000000"/>
                <w:sz w:val="22"/>
              </w:rPr>
              <w:t xml:space="preserve">CDBG HOUSING/HSG REHAB</w:t>
            </w:r>
            <w:r>
              <w:rPr>
                <w:rFonts w:ascii="Calibri" w:hAnsi="Calibri"/>
                <w:color w:val="000000"/>
                <w:sz w:val="22"/>
              </w:rPr>
              <w:br/>
              <w:t xml:space="preserve"/>
            </w:r>
            <w:r>
              <w:rPr>
                <w:rFonts w:ascii="Calibri" w:hAnsi="Calibri"/>
                <w:color w:val="000000"/>
                <w:sz w:val="22"/>
              </w:rPr>
              <w:t xml:space="preserve">CDBG PS/HSG COUNSELING</w:t>
            </w:r>
            <w:r>
              <w:rPr>
                <w:rFonts w:ascii="Calibri" w:hAnsi="Calibri"/>
                <w:color w:val="000000"/>
                <w:sz w:val="22"/>
              </w:rPr>
              <w:br/>
              <w:t xml:space="preserve"/>
            </w:r>
            <w:r>
              <w:rPr>
                <w:rFonts w:ascii="Calibri" w:hAnsi="Calibri"/>
                <w:color w:val="000000"/>
                <w:sz w:val="22"/>
              </w:rPr>
              <w:t xml:space="preserve">CDBG PS/BATTERED &amp; ABUSED</w:t>
            </w:r>
            <w:r>
              <w:rPr>
                <w:rFonts w:ascii="Calibri" w:hAnsi="Calibri"/>
                <w:color w:val="000000"/>
                <w:sz w:val="22"/>
              </w:rPr>
              <w:br/>
              <w:t xml:space="preserve"/>
            </w:r>
            <w:r>
              <w:rPr>
                <w:rFonts w:ascii="Calibri" w:hAnsi="Calibri"/>
                <w:color w:val="000000"/>
                <w:sz w:val="22"/>
              </w:rPr>
              <w:t xml:space="preserve">CDBG PS/PUBLIC SERVICES</w:t>
            </w:r>
            <w:r>
              <w:rPr>
                <w:rFonts w:ascii="Calibri" w:hAnsi="Calibri"/>
                <w:color w:val="000000"/>
                <w:sz w:val="22"/>
              </w:rPr>
              <w:br/>
              <w:t xml:space="preserve"/>
            </w:r>
            <w:r>
              <w:rPr>
                <w:rFonts w:ascii="Calibri" w:hAnsi="Calibri"/>
                <w:color w:val="000000"/>
                <w:sz w:val="22"/>
              </w:rPr>
              <w:t xml:space="preserve">HOME/HOUSING REHAB</w:t>
            </w:r>
            <w:r>
              <w:rPr>
                <w:rFonts w:ascii="Calibri" w:hAnsi="Calibri"/>
                <w:color w:val="000000"/>
                <w:sz w:val="22"/>
              </w:rPr>
              <w:br/>
              <w:t xml:space="preserve"/>
            </w:r>
            <w:r>
              <w:rPr>
                <w:rFonts w:ascii="Calibri" w:hAnsi="Calibri"/>
                <w:color w:val="000000"/>
                <w:sz w:val="22"/>
              </w:rPr>
              <w:t xml:space="preserve">HOME/RENTAL ASSISTANCE</w:t>
            </w:r>
          </w:p>
        </w:tc>
        <w:tc>
          <w:tcPr>
            <w:vAlign w:val="top"/>
          </w:tcPr>
          <w:p>
            <w:pPr>
              <w:spacing w:beforeAutospacing="true" w:afterAutospacing="true"/>
              <w:jc w:val="right"/>
            </w:pPr>
            <w:r>
              <w:rPr>
                <w:rFonts w:ascii="Calibri" w:hAnsi="Calibri"/>
                <w:color w:val="000000"/>
                <w:sz w:val="22"/>
              </w:rPr>
              <w:t xml:space="preserve">CDBG: $369,748</w:t>
            </w:r>
          </w:p>
        </w:tc>
        <w:tc>
          <w:tcPr>
            <w:vAlign w:val="top"/>
          </w:tcPr>
          <w:p>
            <w:pPr>
              <w:spacing w:beforeAutospacing="true" w:afterAutospacing="true"/>
              <w:jc w:val="left"/>
            </w:pPr>
            <w:r>
              <w:rPr>
                <w:rFonts w:ascii="Calibri" w:hAnsi="Calibri"/>
                <w:color w:val="000000"/>
                <w:sz w:val="22"/>
              </w:rPr>
              <w:t xml:space="preserve">Public service activities for Low/Moderate Income Housing Benefit: 50 Households Assisted</w:t>
            </w:r>
            <w:r>
              <w:rPr>
                <w:rFonts w:ascii="Calibri" w:hAnsi="Calibri"/>
                <w:color w:val="000000"/>
                <w:sz w:val="22"/>
              </w:rPr>
              <w:br/>
              <w:t xml:space="preserve"/>
            </w:r>
            <w:r>
              <w:rPr>
                <w:rFonts w:ascii="Calibri" w:hAnsi="Calibri"/>
                <w:color w:val="000000"/>
                <w:sz w:val="22"/>
              </w:rPr>
              <w:t xml:space="preserve">Direct Financial Assistance to Homebuyers: 10 Households Assisted</w:t>
            </w:r>
            <w:r>
              <w:rPr>
                <w:rFonts w:ascii="Calibri" w:hAnsi="Calibri"/>
                <w:color w:val="000000"/>
                <w:sz w:val="22"/>
              </w:rPr>
              <w:br/>
              <w:t xml:space="preserve"/>
            </w:r>
            <w:r>
              <w:rPr>
                <w:rFonts w:ascii="Calibri" w:hAnsi="Calibri"/>
                <w:color w:val="000000"/>
                <w:sz w:val="22"/>
              </w:rPr>
              <w:t xml:space="preserve">Homelessness Prevention: 20 Persons Assisted</w:t>
            </w:r>
            <w:r>
              <w:rPr>
                <w:rFonts w:ascii="Calibri" w:hAnsi="Calibri"/>
                <w:color w:val="000000"/>
                <w:sz w:val="22"/>
              </w:rPr>
              <w:br/>
              <w:t xml:space="preserve"/>
            </w:r>
            <w:r>
              <w:rPr>
                <w:rFonts w:ascii="Calibri" w:hAnsi="Calibri"/>
                <w:color w:val="000000"/>
                <w:sz w:val="22"/>
              </w:rPr>
              <w:t xml:space="preserve">Housing Code Enforcement/Foreclosed Property Care: 3 Household Housing Unit</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p>
      <w:pPr>
        <w:rPr>
          <w:b/>
          <w:sz w:val="24"/>
          <w:szCs w:val="24"/>
        </w:rPr>
      </w:pPr>
      <w:r>
        <w:rPr>
          <w:b/>
          <w:sz w:val="24"/>
          <w:szCs w:val="24"/>
        </w:rPr>
        <w:t>Goal Descriptions</w:t>
      </w:r>
    </w:p>
    <w:p>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Affordable Housing</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Preserve and/or develop quality affordable housing.</w:t>
            </w:r>
          </w:p>
          <w:p>
            <w:pPr>
              <w:spacing w:before="100" w:after="0"/>
            </w:pPr>
            <w:r>
              <w:rPr>
                <w:rFonts w:ascii="Calibri" w:hAnsi="Calibri"/>
                <w:color w:val="000000"/>
                <w:sz w:val="22"/>
              </w:rPr>
              <w:t xml:space="preserve">Strengthen the County's housing market therefore addressing the need for quality affordable housing and creating housing choice and opportunity for low income households.</w:t>
            </w:r>
          </w:p>
        </w:tc>
      </w:tr>
      <w:tr>
        <w:trPr>
          <w:cantSplit w:val="true"/>
        </w:trPr>
        <w:tc>
          <w:tcPr>
            <w:vMerge w:val="restart"/>
          </w:tcPr>
          <w:p>
            <w:pPr>
              <w:keepNext w:val="true"/>
              <w:spacing w:before="100" w:after="0"/>
            </w:pPr>
            <w:r>
              <w:rPr>
                <w:rFonts w:ascii="Calibri" w:hAnsi="Calibri"/>
                <w:b/>
                <w:color w:val="000000"/>
                <w:sz w:val="22"/>
              </w:rPr>
              <w:t xml:space="preserve">2</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Facilities and Services</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Support capital improvements and public service programs to meet the needs of communities.</w:t>
            </w:r>
          </w:p>
          <w:p>
            <w:pPr>
              <w:spacing w:before="100" w:after="0"/>
            </w:pPr>
            <w:r>
              <w:rPr>
                <w:rFonts w:ascii="Calibri" w:hAnsi="Calibri"/>
                <w:color w:val="000000"/>
                <w:sz w:val="22"/>
              </w:rPr>
              <w:t xml:space="preserve">By investin in public facilities, infrastructure, enhancing human service programs and economic opportunities we can improve the quality of life of vulnerable and low to moderate income populations.</w:t>
            </w:r>
          </w:p>
        </w:tc>
      </w:tr>
      <w:tr>
        <w:trPr>
          <w:cantSplit w:val="true"/>
        </w:trPr>
        <w:tc>
          <w:tcPr>
            <w:vMerge w:val="restart"/>
          </w:tcPr>
          <w:p>
            <w:pPr>
              <w:keepNext w:val="true"/>
              <w:spacing w:before="100" w:after="0"/>
            </w:pPr>
            <w:r>
              <w:rPr>
                <w:rFonts w:ascii="Calibri" w:hAnsi="Calibri"/>
                <w:b/>
                <w:color w:val="000000"/>
                <w:sz w:val="22"/>
              </w:rPr>
              <w:t xml:space="preserve">3</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Discrimination</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Reduce Housing Discrimination</w:t>
            </w:r>
          </w:p>
          <w:p>
            <w:pPr>
              <w:spacing w:before="100" w:after="0"/>
            </w:pPr>
            <w:r>
              <w:rPr>
                <w:rFonts w:ascii="Calibri" w:hAnsi="Calibri"/>
                <w:color w:val="000000"/>
                <w:sz w:val="22"/>
              </w:rPr>
              <w:t xml:space="preserve">Promote diverse inclusive and equitable communities, affirmatively further fair housing and equal opportunity, educate communities on housing related issues.</w:t>
            </w:r>
          </w:p>
        </w:tc>
      </w:tr>
      <w:tr>
        <w:trPr>
          <w:cantSplit w:val="true"/>
        </w:trPr>
        <w:tc>
          <w:tcPr>
            <w:vMerge w:val="restart"/>
          </w:tcPr>
          <w:p>
            <w:pPr>
              <w:keepNext w:val="true"/>
              <w:spacing w:before="100" w:after="0"/>
            </w:pPr>
            <w:r>
              <w:rPr>
                <w:rFonts w:ascii="Calibri" w:hAnsi="Calibri"/>
                <w:b/>
                <w:color w:val="000000"/>
                <w:sz w:val="22"/>
              </w:rPr>
              <w:t xml:space="preserve">4</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Community Engagement</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Engage community partners and stakeholders to deepen collaboration and community engagement.</w:t>
            </w:r>
          </w:p>
        </w:tc>
      </w:tr>
    </w:tbl>
    <w:p>
      <w:pPr>
        <w:rPr>
          <w:b/>
          <w:sz w:val="24"/>
          <w:szCs w:val="24"/>
        </w:rPr>
      </w:pPr>
    </w:p>
    <w:p>
      <w:pPr>
        <w:rPr>
          <w:b/>
          <w:sz w:val="24"/>
          <w:szCs w:val="24"/>
        </w:rPr>
      </w:pPr>
    </w:p>
    <w:p/>
    <w:p>
      <w:pPr>
        <w:keepNext/>
        <w:widowControl w:val="false"/>
        <w:spacing w:line="204" w:lineRule="auto"/>
        <w:rPr>
          <w:b/>
          <w:sz w:val="24"/>
          <w:szCs w:val="24"/>
        </w:rPr>
      </w:pPr>
    </w:p>
    <w:p>
      <w:pPr>
        <w:rPr>
          <w:b/>
          <w:sz w:val="24"/>
          <w:szCs w:val="24"/>
        </w:rPr>
      </w:pPr>
    </w:p>
    <w:p>
      <w:pPr>
        <w:widowControl w:val="false"/>
      </w:pPr>
    </w:p>
    <w:p>
      <w:pPr>
        <w:sectPr>
          <w:pgSz w:w="15840" w:h="12240" w:orient="landscape" w:code="1"/>
          <w:pgMar w:top="1440" w:right="1440" w:bottom="1440" w:left="1440" w:header="720" w:footer="720" w:gutter="0"/>
          <w:cols w:space="720"/>
          <w:docGrid w:linePitch="360"/>
        </w:sectPr>
      </w:pPr>
    </w:p>
    <w:p>
      <w:pPr>
        <w:pStyle w:val="Heading2"/>
        <w:rPr>
          <w:rFonts w:ascii="Calibri" w:hAnsi="Calibri"/>
          <w:i w:val="false"/>
        </w:rPr>
      </w:pPr>
      <w:bookmarkStart w:id="2" w:name="_Toc309810475"/>
      <w:bookmarkEnd w:id="0"/>
      <w:r>
        <w:rPr>
          <w:rFonts w:ascii="Calibri" w:hAnsi="Calibri"/>
          <w:i w:val="false"/>
        </w:rPr>
        <w:t>AP-35 Projects - 91.420, 91.220(d)</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b/>
        </w:rPr>
        <w:t xml:space="preserve">How the CDBG Formula Works - </w:t>
      </w:r>
      <w:r>
        <w:rPr>
          <w:rFonts w:cs="Arial"/>
        </w:rPr>
        <w:t xml:space="preserve">After setting aside funds for special purposes such as technical assistance, projects specified by Congress and the Indian CDBG program, the annual appropriation for CDBG formula funding is split so that 70% is allocated among eligible metropolitan cities and counties (referred to as entitlement communities) and 30% among the states to serve non-entitled communities.</w:t>
      </w:r>
    </w:p>
    <w:p>
      <w:pPr>
        <w:keepNext/>
        <w:widowControl w:val="false"/>
        <w:spacing w:beforeAutospacing="true" w:afterAutospacing="true"/>
        <w:rPr>
          <w:b/>
          <w:sz w:val="24"/>
          <w:szCs w:val="24"/>
        </w:rPr>
      </w:pPr>
      <w:r>
        <w:rPr>
          <w:rFonts w:cs="Arial"/>
        </w:rPr>
        <w:t xml:space="preserve">HUD uses two basic formulas, known as Formula A and Formula B, to allocate CDBG funds to entitlement communities. A similar dual formula system allocates funds to states.</w:t>
      </w:r>
    </w:p>
    <w:p>
      <w:pPr>
        <w:keepNext/>
        <w:widowControl w:val="false"/>
        <w:spacing w:beforeAutospacing="true" w:afterAutospacing="true"/>
        <w:rPr>
          <w:b/>
          <w:sz w:val="24"/>
          <w:szCs w:val="24"/>
        </w:rPr>
      </w:pPr>
      <w:r>
        <w:rPr>
          <w:rFonts w:cs="Arial"/>
        </w:rPr>
        <w:t xml:space="preserve">For entitlements, Formula A allocates funds a community based on its metropolitan shares of: (1) population weighted at 25%; (2) poverty weighted at 50%; and (3) overcrowding, weighted at 25%, times appropriations.</w:t>
      </w:r>
    </w:p>
    <w:p>
      <w:pPr>
        <w:keepNext/>
        <w:widowControl w:val="false"/>
        <w:spacing w:beforeAutospacing="true" w:afterAutospacing="true"/>
        <w:rPr>
          <w:b/>
          <w:sz w:val="24"/>
          <w:szCs w:val="24"/>
        </w:rPr>
      </w:pPr>
      <w:r>
        <w:rPr>
          <w:rFonts w:cs="Arial"/>
        </w:rPr>
        <w:t xml:space="preserve">Formula B allocates funds to a community based CDBG formula targeting to community development need on: (1) its share of growth lag, weighted at 20%; and its metropolitan shares of (2) poverty, weighted at 30% and (3) pre-1940 housing weighted at 50%, times appropriation.</w:t>
      </w:r>
    </w:p>
    <w:p>
      <w:pPr>
        <w:keepNext/>
        <w:widowControl w:val="false"/>
        <w:spacing w:beforeAutospacing="true" w:afterAutospacing="true"/>
        <w:rPr>
          <w:b/>
          <w:sz w:val="24"/>
          <w:szCs w:val="24"/>
        </w:rPr>
      </w:pPr>
      <w:r>
        <w:rPr>
          <w:rFonts w:cs="Arial"/>
        </w:rPr>
        <w:t xml:space="preserve">HUD calculates the amount for each entitlement jurisdiction under each formula. Jurisdictions are then assigned the larger of the two grants. That is, if a jurisdiction gets more funds under Formula A than Formula B, the grant amount is based on Formula A. With this dual system, the total amount assigned to CDBG grantees has always exceeded the total amount available through appropriation. To bring the total grant amount allocated to entitlement communities within the appropriated amount, HUD uses a pro rata reduction (calculated as a percentage).</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trPr>
          <w:cantSplit/>
          <w:tblHeader/>
        </w:trPr>
        <w:tc>
          <w:tcPr>
            <w:tcW w:w="0" w:type="auto"/>
          </w:tcPr>
          <w:p>
            <w:pPr>
              <w:keepNext/>
              <w:widowControl w:val="false"/>
              <w:spacing w:after="0" w:line="240" w:lineRule="auto"/>
              <w:jc w:val="center"/>
              <w:rPr>
                <w:b/>
              </w:rPr>
            </w:pPr>
            <w:r>
              <w:rPr>
                <w:b/>
              </w:rPr>
              <w:t>#</w:t>
            </w:r>
          </w:p>
        </w:tc>
        <w:tc>
          <w:tcPr>
            <w:tcW w:w="0" w:type="auto"/>
          </w:tcPr>
          <w:p>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CDBG Administration</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CDBG Housing Rehabilitation/Revolving Loan Fund Estimate</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CDBG Housing/HIP Direct Project Costs</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CDBG Public Services Housing Counseling</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CDBG Public Services Victims of Domestic Violence et al</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CDBG Mobile Home Minor Home Repair</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CDBG Clearance and Demolition</w:t>
            </w:r>
          </w:p>
        </w:tc>
      </w:tr>
      <w:tr>
        <w:trPr>
          <w:cantSplit w:val="true"/>
        </w:trPr>
        <w:tc>
          <w:tcPr>
            <w:vAlign w:val="bottom"/>
          </w:tcPr>
          <w:p>
            <w:pPr>
              <w:spacing w:beforeAutospacing="true" w:afterAutospacing="true"/>
              <w:jc w:val="right"/>
            </w:pPr>
            <w:r>
              <w:rPr>
                <w:rFonts w:ascii="Calibri" w:hAnsi="Calibri"/>
                <w:color w:val="000000"/>
                <w:sz w:val="22"/>
              </w:rPr>
              <w:t xml:space="preserve">8</w:t>
            </w:r>
          </w:p>
        </w:tc>
        <w:tc>
          <w:tcPr>
            <w:vAlign w:val="bottom"/>
          </w:tcPr>
          <w:p>
            <w:pPr>
              <w:spacing w:beforeAutospacing="true" w:afterAutospacing="true"/>
              <w:jc w:val="left"/>
            </w:pPr>
            <w:r>
              <w:rPr>
                <w:rFonts w:ascii="Calibri" w:hAnsi="Calibri"/>
                <w:color w:val="000000"/>
                <w:sz w:val="22"/>
              </w:rPr>
              <w:t xml:space="preserve">CDBG Code Enforcement</w:t>
            </w:r>
          </w:p>
        </w:tc>
      </w:tr>
      <w:tr>
        <w:trPr>
          <w:cantSplit w:val="true"/>
        </w:trPr>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left"/>
            </w:pPr>
            <w:r>
              <w:rPr>
                <w:rFonts w:ascii="Calibri" w:hAnsi="Calibri"/>
                <w:color w:val="000000"/>
                <w:sz w:val="22"/>
              </w:rPr>
              <w:t xml:space="preserve">CDBG Minor Home Repair</w:t>
            </w:r>
          </w:p>
        </w:tc>
      </w:tr>
      <w:tr>
        <w:trPr>
          <w:cantSplit w:val="true"/>
        </w:trPr>
        <w:tc>
          <w:tcPr>
            <w:vAlign w:val="bottom"/>
          </w:tcPr>
          <w:p>
            <w:pPr>
              <w:spacing w:beforeAutospacing="true" w:afterAutospacing="true"/>
              <w:jc w:val="right"/>
            </w:pPr>
            <w:r>
              <w:rPr>
                <w:rFonts w:ascii="Calibri" w:hAnsi="Calibri"/>
                <w:color w:val="000000"/>
                <w:sz w:val="22"/>
              </w:rPr>
              <w:t xml:space="preserve">10</w:t>
            </w:r>
          </w:p>
        </w:tc>
        <w:tc>
          <w:tcPr>
            <w:vAlign w:val="bottom"/>
          </w:tcPr>
          <w:p>
            <w:pPr>
              <w:spacing w:beforeAutospacing="true" w:afterAutospacing="true"/>
              <w:jc w:val="left"/>
            </w:pPr>
            <w:r>
              <w:rPr>
                <w:rFonts w:ascii="Calibri" w:hAnsi="Calibri"/>
                <w:color w:val="000000"/>
                <w:sz w:val="22"/>
              </w:rPr>
              <w:t xml:space="preserve">CDBG Public Facilities and Infrastructure</w:t>
            </w:r>
          </w:p>
        </w:tc>
      </w:tr>
      <w:tr>
        <w:trPr>
          <w:cantSplit w:val="true"/>
        </w:trPr>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left"/>
            </w:pPr>
            <w:r>
              <w:rPr>
                <w:rFonts w:ascii="Calibri" w:hAnsi="Calibri"/>
                <w:color w:val="000000"/>
                <w:sz w:val="22"/>
              </w:rPr>
              <w:t xml:space="preserve">CDBG Public Services</w:t>
            </w:r>
          </w:p>
        </w:tc>
      </w:tr>
      <w:tr>
        <w:trPr>
          <w:cantSplit w:val="true"/>
        </w:trPr>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left"/>
            </w:pPr>
            <w:r>
              <w:rPr>
                <w:rFonts w:ascii="Calibri" w:hAnsi="Calibri"/>
                <w:color w:val="000000"/>
                <w:sz w:val="22"/>
              </w:rPr>
              <w:t xml:space="preserve">HOME Administration/Program Income Estimate</w:t>
            </w:r>
          </w:p>
        </w:tc>
      </w:tr>
      <w:tr>
        <w:trPr>
          <w:cantSplit w:val="true"/>
        </w:trPr>
        <w:tc>
          <w:tcPr>
            <w:vAlign w:val="bottom"/>
          </w:tcPr>
          <w:p>
            <w:pPr>
              <w:spacing w:beforeAutospacing="true" w:afterAutospacing="true"/>
              <w:jc w:val="right"/>
            </w:pPr>
            <w:r>
              <w:rPr>
                <w:rFonts w:ascii="Calibri" w:hAnsi="Calibri"/>
                <w:color w:val="000000"/>
                <w:sz w:val="22"/>
              </w:rPr>
              <w:t xml:space="preserve">13</w:t>
            </w:r>
          </w:p>
        </w:tc>
        <w:tc>
          <w:tcPr>
            <w:vAlign w:val="bottom"/>
          </w:tcPr>
          <w:p>
            <w:pPr>
              <w:spacing w:beforeAutospacing="true" w:afterAutospacing="true"/>
              <w:jc w:val="left"/>
            </w:pPr>
            <w:r>
              <w:rPr>
                <w:rFonts w:ascii="Calibri" w:hAnsi="Calibri"/>
                <w:color w:val="000000"/>
                <w:sz w:val="22"/>
              </w:rPr>
              <w:t xml:space="preserve">HOME Housing Rehabilitation</w:t>
            </w:r>
          </w:p>
        </w:tc>
      </w:tr>
      <w:tr>
        <w:trPr>
          <w:cantSplit w:val="true"/>
        </w:trPr>
        <w:tc>
          <w:tcPr>
            <w:vAlign w:val="bottom"/>
          </w:tcPr>
          <w:p>
            <w:pPr>
              <w:spacing w:beforeAutospacing="true" w:afterAutospacing="true"/>
              <w:jc w:val="right"/>
            </w:pPr>
            <w:r>
              <w:rPr>
                <w:rFonts w:ascii="Calibri" w:hAnsi="Calibri"/>
                <w:color w:val="000000"/>
                <w:sz w:val="22"/>
              </w:rPr>
              <w:t xml:space="preserve">14</w:t>
            </w:r>
          </w:p>
        </w:tc>
        <w:tc>
          <w:tcPr>
            <w:vAlign w:val="bottom"/>
          </w:tcPr>
          <w:p>
            <w:pPr>
              <w:spacing w:beforeAutospacing="true" w:afterAutospacing="true"/>
              <w:jc w:val="left"/>
            </w:pPr>
            <w:r>
              <w:rPr>
                <w:rFonts w:ascii="Calibri" w:hAnsi="Calibri"/>
                <w:color w:val="000000"/>
                <w:sz w:val="22"/>
              </w:rPr>
              <w:t xml:space="preserve">HOME CHDO Rental</w:t>
            </w:r>
          </w:p>
        </w:tc>
      </w:tr>
      <w:tr>
        <w:trPr>
          <w:cantSplit w:val="true"/>
        </w:trPr>
        <w:tc>
          <w:tcPr>
            <w:vAlign w:val="bottom"/>
          </w:tcPr>
          <w:p>
            <w:pPr>
              <w:spacing w:beforeAutospacing="true" w:afterAutospacing="true"/>
              <w:jc w:val="right"/>
            </w:pPr>
            <w:r>
              <w:rPr>
                <w:rFonts w:ascii="Calibri" w:hAnsi="Calibri"/>
                <w:color w:val="000000"/>
                <w:sz w:val="22"/>
              </w:rPr>
              <w:t xml:space="preserve">15</w:t>
            </w:r>
          </w:p>
        </w:tc>
        <w:tc>
          <w:tcPr>
            <w:vAlign w:val="bottom"/>
          </w:tcPr>
          <w:p>
            <w:pPr>
              <w:spacing w:beforeAutospacing="true" w:afterAutospacing="true"/>
              <w:jc w:val="left"/>
            </w:pPr>
            <w:r>
              <w:rPr>
                <w:rFonts w:ascii="Calibri" w:hAnsi="Calibri"/>
                <w:color w:val="000000"/>
                <w:sz w:val="22"/>
              </w:rPr>
              <w:t xml:space="preserve">HOME CHDO Operating Expenses</w:t>
            </w:r>
          </w:p>
        </w:tc>
      </w:tr>
      <w:tr>
        <w:trPr>
          <w:cantSplit w:val="true"/>
        </w:trPr>
        <w:tc>
          <w:tcPr>
            <w:vAlign w:val="bottom"/>
          </w:tcPr>
          <w:p>
            <w:pPr>
              <w:spacing w:beforeAutospacing="true" w:afterAutospacing="true"/>
              <w:jc w:val="right"/>
            </w:pPr>
            <w:r>
              <w:rPr>
                <w:rFonts w:ascii="Calibri" w:hAnsi="Calibri"/>
                <w:color w:val="000000"/>
                <w:sz w:val="22"/>
              </w:rPr>
              <w:t xml:space="preserve">16</w:t>
            </w:r>
          </w:p>
        </w:tc>
        <w:tc>
          <w:tcPr>
            <w:vAlign w:val="bottom"/>
          </w:tcPr>
          <w:p>
            <w:pPr>
              <w:spacing w:beforeAutospacing="true" w:afterAutospacing="true"/>
              <w:jc w:val="left"/>
            </w:pPr>
            <w:r>
              <w:rPr>
                <w:rFonts w:ascii="Calibri" w:hAnsi="Calibri"/>
                <w:color w:val="000000"/>
                <w:sz w:val="22"/>
              </w:rPr>
              <w:t xml:space="preserve">ESG Administration and ESG Homelessness</w:t>
            </w:r>
          </w:p>
        </w:tc>
      </w:tr>
      <w:tr>
        <w:trPr>
          <w:cantSplit w:val="true"/>
        </w:trPr>
        <w:tc>
          <w:tcPr>
            <w:vAlign w:val="bottom"/>
          </w:tcPr>
          <w:p>
            <w:pPr>
              <w:spacing w:beforeAutospacing="true" w:afterAutospacing="true"/>
              <w:jc w:val="right"/>
            </w:pPr>
            <w:r>
              <w:rPr>
                <w:rFonts w:ascii="Calibri" w:hAnsi="Calibri"/>
                <w:color w:val="000000"/>
                <w:sz w:val="22"/>
              </w:rPr>
              <w:t xml:space="preserve">17</w:t>
            </w:r>
          </w:p>
        </w:tc>
        <w:tc>
          <w:tcPr>
            <w:vAlign w:val="bottom"/>
          </w:tcPr>
          <w:p>
            <w:pPr>
              <w:spacing w:beforeAutospacing="true" w:afterAutospacing="true"/>
              <w:jc w:val="left"/>
            </w:pPr>
            <w:r>
              <w:rPr>
                <w:rFonts w:ascii="Calibri" w:hAnsi="Calibri"/>
                <w:color w:val="000000"/>
                <w:sz w:val="22"/>
              </w:rPr>
              <w:t xml:space="preserve">HOME CHDO Homebuyer</w:t>
            </w:r>
          </w:p>
        </w:tc>
      </w:tr>
      <w:tr>
        <w:trPr>
          <w:cantSplit w:val="true"/>
        </w:trPr>
        <w:tc>
          <w:tcPr>
            <w:vAlign w:val="bottom"/>
          </w:tcPr>
          <w:p>
            <w:pPr>
              <w:spacing w:beforeAutospacing="true" w:afterAutospacing="true"/>
              <w:jc w:val="right"/>
            </w:pPr>
            <w:r>
              <w:rPr>
                <w:rFonts w:ascii="Calibri" w:hAnsi="Calibri"/>
                <w:color w:val="000000"/>
                <w:sz w:val="22"/>
              </w:rPr>
              <w:t xml:space="preserve">18</w:t>
            </w:r>
          </w:p>
        </w:tc>
        <w:tc>
          <w:tcPr>
            <w:vAlign w:val="bottom"/>
          </w:tcPr>
          <w:p>
            <w:pPr>
              <w:spacing w:beforeAutospacing="true" w:afterAutospacing="true"/>
              <w:jc w:val="left"/>
            </w:pPr>
            <w:r>
              <w:rPr>
                <w:rFonts w:ascii="Calibri" w:hAnsi="Calibri"/>
                <w:color w:val="000000"/>
                <w:sz w:val="22"/>
              </w:rPr>
              <w:t xml:space="preserve">HOME Rental</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pPr>
        <w:spacing w:after="0" w:line="240" w:lineRule="auto"/>
        <w:rPr>
          <w:b/>
          <w:sz w:val="24"/>
          <w:szCs w:val="24"/>
        </w:rPr>
      </w:pPr>
    </w:p>
    <w:p>
      <w:pPr>
        <w:keepNext/>
        <w:widowControl w:val="false"/>
        <w:spacing w:line="204" w:lineRule="auto"/>
        <w:rPr>
          <w:b/>
          <w:sz w:val="24"/>
          <w:szCs w:val="24"/>
        </w:rPr>
      </w:pPr>
      <w:r>
        <w:rPr>
          <w:b/>
          <w:sz w:val="24"/>
          <w:szCs w:val="24"/>
        </w:rPr>
        <w:t>Describe the reasons for allocation priorities and any obstacles to addressing underserved needs</w:t>
      </w:r>
    </w:p>
    <w:p>
      <w:pPr>
        <w:keepNext/>
        <w:widowControl w:val="false"/>
        <w:spacing w:beforeAutospacing="true" w:afterAutospacing="true"/>
        <w:rPr>
          <w:rFonts w:cs="Arial"/>
          <w:szCs w:val="24"/>
        </w:rPr>
      </w:pPr>
      <w:r>
        <w:rPr>
          <w:rFonts w:cs="Arial"/>
        </w:rPr>
        <w:t xml:space="preserve">Quantitative research (housing market and demographic analysis) and qualitative research (surveys, public meetings, focus groups, and resident input) impacted the priority needs and strategies for the Oakland County PY 2016-2020 Consolidated Plan.</w:t>
      </w:r>
    </w:p>
    <w:p>
      <w:pPr>
        <w:keepNext/>
        <w:widowControl w:val="false"/>
        <w:spacing w:beforeAutospacing="true" w:afterAutospacing="true"/>
        <w:rPr>
          <w:rFonts w:cs="Arial"/>
          <w:szCs w:val="24"/>
        </w:rPr>
      </w:pPr>
      <w:r>
        <w:rPr>
          <w:rFonts w:cs="Arial"/>
        </w:rPr>
        <w:t xml:space="preserve">Oakland County prioritized benefit to low income persons and areas using a formula allocation method. Activities selected meet national program objectives and Consolidated Plan goals. Oakland County does not allocate investments geographically and does not plan to identify any specific Neighborhood Revitalization Strategy Areas (NRSA).</w:t>
      </w:r>
    </w:p>
    <w:p>
      <w:pPr>
        <w:keepNext/>
        <w:widowControl w:val="false"/>
        <w:spacing w:beforeAutospacing="true" w:afterAutospacing="true"/>
        <w:rPr>
          <w:rFonts w:cs="Arial"/>
          <w:szCs w:val="24"/>
        </w:rPr>
      </w:pPr>
      <w:r>
        <w:rPr>
          <w:rFonts w:cs="Arial"/>
        </w:rPr>
        <w:t xml:space="preserve">The obstacle to addressing underserved needs is the lack of adequate financial resources.</w:t>
      </w:r>
    </w:p>
    <w:p>
      <w:pPr>
        <w:rPr>
          <w:rFonts w:cs="Arial"/>
        </w:r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AP-38 Project Summary</w:t>
      </w:r>
    </w:p>
    <w:p>
      <w:pPr>
        <w:keepNext/>
        <w:widowControl w:val="false"/>
        <w:rPr>
          <w:b/>
          <w:sz w:val="24"/>
          <w:szCs w:val="24"/>
        </w:rPr>
      </w:pPr>
      <w:r>
        <w:rPr>
          <w:b/>
          <w:sz w:val="24"/>
          <w:szCs w:val="24"/>
        </w:rPr>
        <w:t>Project Summary Information</w:t>
      </w:r>
    </w:p>
    <w:p>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Administration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r>
              <w:rPr>
                <w:rFonts w:ascii="Calibri" w:hAnsi="Calibri"/>
                <w:color w:val="000000"/>
                <w:sz w:val="22"/>
              </w:rPr>
              <w:br/>
              <w:t xml:space="preserve"/>
            </w:r>
            <w:r>
              <w:rPr>
                <w:rFonts w:ascii="Calibri" w:hAnsi="Calibri"/>
                <w:color w:val="000000"/>
                <w:sz w:val="22"/>
              </w:rPr>
              <w:t xml:space="preserve">Community Engagement</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ADMINISTRATION &amp; PLANNING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$1,096,512</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Administration of the CDBG program including management, public information and fair housing activities.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Not applicable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Oakland County Neighborhood Housing &amp; Development Division</w:t>
            </w:r>
          </w:p>
          <w:p>
            <w:pPr>
              <w:spacing w:before="100" w:after="0"/>
            </w:pPr>
            <w:r>
              <w:rPr>
                <w:rFonts w:ascii="Calibri" w:hAnsi="Calibri"/>
                <w:color w:val="000000"/>
                <w:sz w:val="22"/>
              </w:rPr>
              <w:t xml:space="preserve">250 Elizabeth Lake Rd. Suite #1900</w:t>
            </w:r>
          </w:p>
          <w:p>
            <w:pPr>
              <w:spacing w:before="100" w:after="0"/>
            </w:pPr>
            <w:r>
              <w:rPr>
                <w:rFonts w:ascii="Calibri" w:hAnsi="Calibri"/>
                <w:color w:val="000000"/>
                <w:sz w:val="22"/>
              </w:rPr>
              <w:t xml:space="preserve">Pontiac MI 48341-0414</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General Program Administration</w:t>
            </w:r>
          </w:p>
        </w:tc>
      </w:tr>
      <w:tr>
        <w:trPr>
          <w:cantSplit w:val="true"/>
        </w:trPr>
        <w:tc>
          <w:tcPr>
            <w:vMerge w:val="restart"/>
          </w:tcPr>
          <w:p>
            <w:r>
              <w:rPr>
                <w:b w:val="true"/>
              </w:rPr>
              <w:t>2</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Housing Rehabilitation/Revolving Loan Fund Estimate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HOUSING/HSG REHAB</w:t>
            </w:r>
            <w:r>
              <w:rPr>
                <w:rFonts w:ascii="Calibri" w:hAnsi="Calibri"/>
                <w:color w:val="000000"/>
                <w:sz w:val="22"/>
              </w:rPr>
              <w:br/>
              <w:t xml:space="preserve"/>
            </w:r>
            <w:r>
              <w:rPr>
                <w:rFonts w:ascii="Calibri" w:hAnsi="Calibri"/>
                <w:color w:val="000000"/>
                <w:sz w:val="22"/>
              </w:rPr>
              <w:t xml:space="preserve">CDBG HOUSING/RLF (EST)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$1,000,000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Contract work of the County's Home Improvement Program which is available to income qualified homeowners in participating communities. Estimated loan payments to fund future Home Improvement Program loans which are available to income qualified homeowners in participating communities.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60</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Contract work of the County's Home Improvement Program (HIP) which is available to income qualified homeowners in participating communities.  Estimated loan payments to fund future Home Improvement Program loans which are available to income qualified homeowners in participating communities.</w:t>
            </w:r>
          </w:p>
        </w:tc>
      </w:tr>
      <w:tr>
        <w:trPr>
          <w:cantSplit w:val="true"/>
        </w:trPr>
        <w:tc>
          <w:tcPr>
            <w:vMerge w:val="restart"/>
          </w:tcPr>
          <w:p>
            <w:r>
              <w:rPr>
                <w:b w:val="true"/>
              </w:rPr>
              <w:t>3</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Housing/HIP Direct Project Costs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HOUSING/HSG REHAB</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$1,233,440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Direct project costs of contract work of the County's Home Improvement Program which is available to income qualified homeowners of single-family owner-occupied units and owner occupants of attached single family rental (2-4 units) in participating communities.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Not applicable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Oakland County Neighborhood &amp; Housing Development Division</w:t>
            </w:r>
          </w:p>
          <w:p>
            <w:pPr>
              <w:spacing w:before="100" w:after="0"/>
            </w:pPr>
            <w:r>
              <w:rPr>
                <w:rFonts w:ascii="Calibri" w:hAnsi="Calibri"/>
                <w:color w:val="000000"/>
                <w:sz w:val="22"/>
              </w:rPr>
              <w:t xml:space="preserve">250 Elizabeth Lake Rd. #1900</w:t>
            </w:r>
          </w:p>
          <w:p>
            <w:pPr>
              <w:spacing w:before="100" w:after="0"/>
            </w:pPr>
            <w:r>
              <w:rPr>
                <w:rFonts w:ascii="Calibri" w:hAnsi="Calibri"/>
                <w:color w:val="000000"/>
                <w:sz w:val="22"/>
              </w:rPr>
              <w:t xml:space="preserve">Pontiac MI 48341-0414</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Housing rehabilitation - direct project costs</w:t>
            </w:r>
          </w:p>
        </w:tc>
      </w:tr>
      <w:tr>
        <w:trPr>
          <w:cantSplit w:val="true"/>
        </w:trPr>
        <w:tc>
          <w:tcPr>
            <w:vMerge w:val="restart"/>
          </w:tcPr>
          <w:p>
            <w:r>
              <w:rPr>
                <w:b w:val="true"/>
              </w:rPr>
              <w:t>4</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Public Services Housing Counseling</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PS/HSG COUNSELING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$320,066</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Comprehensive housing counseling services to help address housing matters including foreclosure, homebuyer and tenant issues.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300</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Oakland County Neighborhood &amp; Housing Development Division</w:t>
            </w:r>
          </w:p>
          <w:p>
            <w:pPr>
              <w:spacing w:before="100" w:after="0"/>
            </w:pPr>
            <w:r>
              <w:rPr>
                <w:rFonts w:ascii="Calibri" w:hAnsi="Calibri"/>
                <w:color w:val="000000"/>
                <w:sz w:val="22"/>
              </w:rPr>
              <w:t xml:space="preserve">250 Elizabeth Lake Rd. #1900</w:t>
            </w:r>
          </w:p>
          <w:p>
            <w:pPr>
              <w:spacing w:before="100" w:after="0"/>
            </w:pPr>
            <w:r>
              <w:rPr>
                <w:rFonts w:ascii="Calibri" w:hAnsi="Calibri"/>
                <w:color w:val="000000"/>
                <w:sz w:val="22"/>
              </w:rPr>
              <w:t xml:space="preserve">Pontiac MI 48341-0414</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Comprehensive Housing Counseling</w:t>
            </w:r>
          </w:p>
        </w:tc>
      </w:tr>
      <w:tr>
        <w:trPr>
          <w:cantSplit w:val="true"/>
        </w:trPr>
        <w:tc>
          <w:tcPr>
            <w:vMerge w:val="restart"/>
          </w:tcPr>
          <w:p>
            <w:r>
              <w:rPr>
                <w:b w:val="true"/>
              </w:rPr>
              <w:t>5</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Public Services Victims of Domestic Violence et al</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PS/BATTERED &amp; ABUSED</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$138,501</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Services for victims of domestic violence, dating violence, sexual assault or stalking as part of a County executed and administered contract with HAVEN.</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772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HAVEN </w:t>
            </w:r>
          </w:p>
          <w:p>
            <w:pPr>
              <w:spacing w:before="100" w:after="0"/>
            </w:pPr>
            <w:r>
              <w:rPr>
                <w:rFonts w:ascii="Calibri" w:hAnsi="Calibri"/>
                <w:color w:val="000000"/>
                <w:sz w:val="22"/>
              </w:rPr>
              <w:t xml:space="preserve">801 Vanguard Drive</w:t>
            </w:r>
          </w:p>
          <w:p>
            <w:pPr>
              <w:spacing w:before="100" w:after="0"/>
            </w:pPr>
            <w:r>
              <w:rPr>
                <w:rFonts w:ascii="Calibri" w:hAnsi="Calibri"/>
                <w:color w:val="000000"/>
                <w:sz w:val="22"/>
              </w:rPr>
              <w:t xml:space="preserve">Pontiac MI 48341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ADV - Advocacy Program</w:t>
            </w:r>
          </w:p>
          <w:p>
            <w:pPr>
              <w:spacing w:before="100" w:after="0"/>
            </w:pPr>
            <w:r>
              <w:rPr>
                <w:rFonts w:ascii="Calibri" w:hAnsi="Calibri"/>
                <w:color w:val="000000"/>
                <w:sz w:val="22"/>
              </w:rPr>
              <w:t xml:space="preserve">DVCP - Domestic Violence Counseling Program</w:t>
            </w:r>
          </w:p>
          <w:p>
            <w:pPr>
              <w:spacing w:before="100" w:after="0"/>
            </w:pPr>
            <w:r>
              <w:rPr>
                <w:rFonts w:ascii="Calibri" w:hAnsi="Calibri"/>
                <w:color w:val="000000"/>
                <w:sz w:val="22"/>
              </w:rPr>
              <w:t xml:space="preserve">SA - Sexual Assault Counseling Program</w:t>
            </w:r>
          </w:p>
          <w:p>
            <w:pPr>
              <w:spacing w:before="100" w:after="0"/>
            </w:pPr>
            <w:r>
              <w:rPr>
                <w:rFonts w:ascii="Calibri" w:hAnsi="Calibri"/>
                <w:color w:val="000000"/>
                <w:sz w:val="22"/>
              </w:rPr>
              <w:t xml:space="preserve">C&amp;SL - Crisis and Support Line</w:t>
            </w:r>
          </w:p>
          <w:p>
            <w:pPr>
              <w:spacing w:before="100" w:after="0"/>
            </w:pPr>
            <w:r>
              <w:rPr>
                <w:rFonts w:ascii="Calibri" w:hAnsi="Calibri"/>
                <w:color w:val="000000"/>
                <w:sz w:val="22"/>
              </w:rPr>
              <w:t xml:space="preserve">START - Safe Therapeutic Assault Response</w:t>
            </w:r>
          </w:p>
          <w:p>
            <w:pPr>
              <w:spacing w:before="100" w:after="0"/>
            </w:pPr>
            <w:r>
              <w:rPr>
                <w:rFonts w:ascii="Calibri" w:hAnsi="Calibri"/>
                <w:color w:val="000000"/>
                <w:sz w:val="22"/>
              </w:rPr>
              <w:t xml:space="preserve">TEAM PPO - Personal Protection Order</w:t>
            </w:r>
          </w:p>
        </w:tc>
      </w:tr>
      <w:tr>
        <w:trPr>
          <w:cantSplit w:val="true"/>
        </w:trPr>
        <w:tc>
          <w:tcPr>
            <w:vMerge w:val="restart"/>
          </w:tcPr>
          <w:p>
            <w:r>
              <w:rPr>
                <w:b w:val="true"/>
              </w:rPr>
              <w:t>6</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Mobile Home Minor Home Repair</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HOUSING/MHMHR</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$82,118</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Minor home repair for the mobile homes of income qualified households as part of a County executed and administered contract with OLHSA. Repairs will conform to Oakland County guidelines and State of Michigan Lead Based Paint requirements.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28</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Variable and specific</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Mobile Home Minor Home Repair</w:t>
            </w:r>
          </w:p>
        </w:tc>
      </w:tr>
      <w:tr>
        <w:trPr>
          <w:cantSplit w:val="true"/>
        </w:trPr>
        <w:tc>
          <w:tcPr>
            <w:vMerge w:val="restart"/>
          </w:tcPr>
          <w:p>
            <w:r>
              <w:rPr>
                <w:b w:val="true"/>
              </w:rPr>
              <w:t>7</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Clearance and Demolition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CLEARANCE &amp; DEMO</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Demolition of vacant and blighted structures.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0</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Clearance and demolition</w:t>
            </w:r>
          </w:p>
        </w:tc>
      </w:tr>
      <w:tr>
        <w:trPr>
          <w:cantSplit w:val="true"/>
        </w:trPr>
        <w:tc>
          <w:tcPr>
            <w:vMerge w:val="restart"/>
          </w:tcPr>
          <w:p>
            <w:r>
              <w:rPr>
                <w:b w:val="true"/>
              </w:rPr>
              <w:t>8</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Code Enforcement</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CODE ENFORCEMENT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$303,974</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Code enforcement activities.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49765</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Area Wide Benefit elgible areas only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Code enforcement</w:t>
            </w:r>
          </w:p>
        </w:tc>
      </w:tr>
      <w:tr>
        <w:trPr>
          <w:cantSplit w:val="true"/>
        </w:trPr>
        <w:tc>
          <w:tcPr>
            <w:vMerge w:val="restart"/>
          </w:tcPr>
          <w:p>
            <w:r>
              <w:rPr>
                <w:b w:val="true"/>
              </w:rPr>
              <w:t>9</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Minor Home Repair</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HOUSING/MHR</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$511,220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Minor home repairs for the homes of income qualified households. Repairs will confirm to Oakland County guidelines and State of Michigan Lead Based Paint guidelines.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150</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Minor Home Repair</w:t>
            </w:r>
          </w:p>
        </w:tc>
      </w:tr>
      <w:tr>
        <w:trPr>
          <w:cantSplit w:val="true"/>
        </w:trPr>
        <w:tc>
          <w:tcPr>
            <w:vMerge w:val="restart"/>
          </w:tcPr>
          <w:p>
            <w:r>
              <w:rPr>
                <w:b w:val="true"/>
              </w:rPr>
              <w:t>10</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Public Facilities and Infrastructure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PF &amp; INFRASTRUCTURE</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$1,265,077</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Public facilities and infrastructure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6683</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Parks &amp; Recreation Facilities, Remove Architectural Barriers, Senior Centers, Sidewalks</w:t>
            </w:r>
          </w:p>
        </w:tc>
      </w:tr>
      <w:tr>
        <w:trPr>
          <w:cantSplit w:val="true"/>
        </w:trPr>
        <w:tc>
          <w:tcPr>
            <w:vMerge w:val="restart"/>
          </w:tcPr>
          <w:p>
            <w:r>
              <w:rPr>
                <w:b w:val="true"/>
              </w:rPr>
              <w:t>11</w:t>
            </w:r>
          </w:p>
        </w:tc>
        <w:tc>
          <w:p>
            <w:pPr>
              <w:keepNext w:val="true"/>
              <w:spacing w:before="100" w:after="0"/>
              <w:rPr>
                <w:b/>
              </w:rPr>
            </w:pPr>
            <w:r>
              <w:rPr>
                <w:b/>
              </w:rPr>
              <w:t>Project Name</w:t>
            </w:r>
          </w:p>
        </w:tc>
        <w:tc>
          <w:p>
            <w:pPr>
              <w:spacing w:before="100" w:after="0"/>
            </w:pPr>
            <w:r>
              <w:rPr>
                <w:rFonts w:ascii="Calibri" w:hAnsi="Calibri"/>
                <w:color w:val="000000"/>
                <w:sz w:val="22"/>
              </w:rPr>
              <w:t xml:space="preserve">CDBG Public Services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CDBG PS/PUBLIC SERVICES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$531,650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21,219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Child Care Services, Disabled Services, Emergency Services, Housekeeping Services, Senior Services, Services for Victims of Domestic Violence, Dating Violence, Sexual Assault, or Stalking, Transportation Services, Yard Services, Youth Services Homebuyer Down Payment Assistance</w:t>
            </w:r>
          </w:p>
        </w:tc>
      </w:tr>
      <w:tr>
        <w:trPr>
          <w:cantSplit w:val="true"/>
        </w:trPr>
        <w:tc>
          <w:tcPr>
            <w:vMerge w:val="restart"/>
          </w:tcPr>
          <w:p>
            <w:r>
              <w:rPr>
                <w:b w:val="true"/>
              </w:rPr>
              <w:t>12</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Administration/Program Income Estimate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 GENERAL PROGRAM ADMINISTRATION</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$386,842</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County's cost of administering the Oakland County HOME Program</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Not applicable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Oakland County Neighborhood &amp; Housing Development Division</w:t>
            </w:r>
          </w:p>
          <w:p>
            <w:pPr>
              <w:spacing w:before="100" w:after="0"/>
            </w:pPr>
            <w:r>
              <w:rPr>
                <w:rFonts w:ascii="Calibri" w:hAnsi="Calibri"/>
                <w:color w:val="000000"/>
                <w:sz w:val="22"/>
              </w:rPr>
              <w:t xml:space="preserve">250 Elizabeth Lake Rd. Suite 1900</w:t>
            </w:r>
          </w:p>
          <w:p>
            <w:pPr>
              <w:spacing w:before="100" w:after="0"/>
            </w:pPr>
            <w:r>
              <w:rPr>
                <w:rFonts w:ascii="Calibri" w:hAnsi="Calibri"/>
                <w:color w:val="000000"/>
                <w:sz w:val="22"/>
              </w:rPr>
              <w:t xml:space="preserve">Pontiac MI 48341-0414</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General Program Administration </w:t>
            </w:r>
          </w:p>
        </w:tc>
      </w:tr>
      <w:tr>
        <w:trPr>
          <w:cantSplit w:val="true"/>
        </w:trPr>
        <w:tc>
          <w:tcPr>
            <w:vMerge w:val="restart"/>
          </w:tcPr>
          <w:p>
            <w:r>
              <w:rPr>
                <w:b w:val="true"/>
              </w:rPr>
              <w:t>13</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Housing Rehabilitation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HOME/HOUSING REHAB</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$1,453,946</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Direct project costs of contract work of the County's Home Improvement Program which is available to income qualified homeowners in participating communities.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68</w:t>
            </w:r>
          </w:p>
          <w:p>
            <w:pPr>
              <w:spacing w:before="100" w:after="0"/>
            </w:pPr>
            <w:r>
              <w:rPr>
                <w:rFonts w:ascii="Calibri" w:hAnsi="Calibri"/>
                <w:color w:val="000000"/>
                <w:sz w:val="22"/>
              </w:rPr>
              <w:t xml:space="preserve">Grant = 42</w:t>
            </w:r>
          </w:p>
          <w:p>
            <w:pPr>
              <w:spacing w:before="100" w:after="0"/>
            </w:pPr>
            <w:r>
              <w:rPr>
                <w:rFonts w:ascii="Calibri" w:hAnsi="Calibri"/>
                <w:color w:val="000000"/>
                <w:sz w:val="22"/>
              </w:rPr>
              <w:t xml:space="preserve">Match = 10</w:t>
            </w:r>
          </w:p>
          <w:p>
            <w:pPr>
              <w:spacing w:before="100" w:after="0"/>
            </w:pPr>
            <w:r>
              <w:rPr>
                <w:rFonts w:ascii="Calibri" w:hAnsi="Calibri"/>
                <w:color w:val="000000"/>
                <w:sz w:val="22"/>
              </w:rPr>
              <w:t xml:space="preserve">Estimated Program Income = 16</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Housing Rehabilitation</w:t>
            </w:r>
          </w:p>
        </w:tc>
      </w:tr>
      <w:tr>
        <w:trPr>
          <w:cantSplit w:val="true"/>
        </w:trPr>
        <w:tc>
          <w:tcPr>
            <w:vMerge w:val="restart"/>
          </w:tcPr>
          <w:p>
            <w:r>
              <w:rPr>
                <w:b w:val="true"/>
              </w:rPr>
              <w:t>14</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CHDO Rental</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HOME/RENTAL DEVELOPMENT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$430,263</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Contracts with qualified CHDOs to construct or rehabilitate affordable single family (1-4 units) and multifamily rental housing in HOME Consortium Communities. This investment targets renters at or below 60% of area median income.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12-22 units</w:t>
            </w:r>
          </w:p>
          <w:p>
            <w:pPr>
              <w:spacing w:before="100" w:after="0"/>
            </w:pPr>
            <w:r>
              <w:rPr>
                <w:rFonts w:ascii="Calibri" w:hAnsi="Calibri"/>
                <w:color w:val="000000"/>
                <w:sz w:val="22"/>
              </w:rPr>
              <w:t xml:space="preserve">24-44 low income persons</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CHDOs will be able to increase the supply of rental units by acquisition/rehabilitation or new construction.</w:t>
            </w:r>
          </w:p>
        </w:tc>
      </w:tr>
      <w:tr>
        <w:trPr>
          <w:cantSplit w:val="true"/>
        </w:trPr>
        <w:tc>
          <w:tcPr>
            <w:vMerge w:val="restart"/>
          </w:tcPr>
          <w:p>
            <w:r>
              <w:rPr>
                <w:b w:val="true"/>
              </w:rPr>
              <w:t>15</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CHDO Operating Expenses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HOME/RENTAL DEVELOPMENT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$143,421</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 the operating expenses of Community Housing Development Organizations (CHDOs) when carrying out Oakland County HOME funded projects.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Not applicable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CHDO Operating Expenses</w:t>
            </w:r>
          </w:p>
        </w:tc>
      </w:tr>
      <w:tr>
        <w:trPr>
          <w:cantSplit w:val="true"/>
        </w:trPr>
        <w:tc>
          <w:tcPr>
            <w:vMerge w:val="restart"/>
          </w:tcPr>
          <w:p>
            <w:r>
              <w:rPr>
                <w:b w:val="true"/>
              </w:rPr>
              <w:t>16</w:t>
            </w:r>
          </w:p>
        </w:tc>
        <w:tc>
          <w:p>
            <w:pPr>
              <w:keepNext w:val="true"/>
              <w:spacing w:before="100" w:after="0"/>
              <w:rPr>
                <w:b/>
              </w:rPr>
            </w:pPr>
            <w:r>
              <w:rPr>
                <w:b/>
              </w:rPr>
              <w:t>Project Name</w:t>
            </w:r>
          </w:p>
        </w:tc>
        <w:tc>
          <w:p>
            <w:pPr>
              <w:spacing w:before="100" w:after="0"/>
            </w:pPr>
            <w:r>
              <w:rPr>
                <w:rFonts w:ascii="Calibri" w:hAnsi="Calibri"/>
                <w:color w:val="000000"/>
                <w:sz w:val="22"/>
              </w:rPr>
              <w:t xml:space="preserve">ESG Administration and ESG Homelessness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Facilities and Services</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HESG GENERAL PROGRAM ADMINISTRATION</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ESG: $327,744</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County's cost of administering the Oakland County ESG program. Fund qualified agency to perform data collection/evaluation through HMIS. The agency will provide reports/training/technical assistance to ESG participating agencies and the County. Funds will be provided to a qualified agency to provide rental assistance and housing relocation and stabilization services for eligible homeless and/or at risk or homelessness clients. Fund qualified shelters for eligible essential service for homeless clients, shelter operations and organizational support.</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1600</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General Program Administration (7.5%) = $24,581</w:t>
            </w:r>
          </w:p>
          <w:p>
            <w:pPr>
              <w:spacing w:before="100" w:after="0"/>
            </w:pPr>
            <w:r>
              <w:rPr>
                <w:rFonts w:ascii="Calibri" w:hAnsi="Calibri"/>
                <w:color w:val="000000"/>
                <w:sz w:val="22"/>
              </w:rPr>
              <w:t xml:space="preserve">Data collection/evaluation through HMIS (7.5%) = $24,581</w:t>
            </w:r>
          </w:p>
          <w:p>
            <w:pPr>
              <w:spacing w:before="100" w:after="0"/>
            </w:pPr>
            <w:r>
              <w:rPr>
                <w:rFonts w:ascii="Calibri" w:hAnsi="Calibri"/>
                <w:color w:val="000000"/>
                <w:sz w:val="22"/>
              </w:rPr>
              <w:t xml:space="preserve">Rental assistance and housing relocation/stabilzation services =$106,528</w:t>
            </w:r>
          </w:p>
          <w:p>
            <w:pPr>
              <w:spacing w:before="100" w:after="0"/>
            </w:pPr>
            <w:r>
              <w:rPr>
                <w:rFonts w:ascii="Calibri" w:hAnsi="Calibri"/>
                <w:color w:val="000000"/>
                <w:sz w:val="22"/>
              </w:rPr>
              <w:t xml:space="preserve">Essential services, shelter operations and organizational support = $172,054</w:t>
            </w:r>
          </w:p>
        </w:tc>
      </w:tr>
      <w:tr>
        <w:trPr>
          <w:cantSplit w:val="true"/>
        </w:trPr>
        <w:tc>
          <w:tcPr>
            <w:vMerge w:val="restart"/>
          </w:tcPr>
          <w:p>
            <w:r>
              <w:rPr>
                <w:b w:val="true"/>
              </w:rPr>
              <w:t>17</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CHDO Homebuyer</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HOME/HOMEBUYER</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$400,000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Contracts with qualified Community Housing Development Organizations (CHDOs) to develop affordable housing for income qualified homebuyers through acquisition, rehab or new construction.</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3</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Acquistion, Housing Rehabilitation, New Construction</w:t>
            </w:r>
          </w:p>
        </w:tc>
      </w:tr>
      <w:tr>
        <w:trPr>
          <w:cantSplit w:val="true"/>
        </w:trPr>
        <w:tc>
          <w:tcPr>
            <w:vMerge w:val="restart"/>
          </w:tcPr>
          <w:p>
            <w:r>
              <w:rPr>
                <w:b w:val="true"/>
              </w:rPr>
              <w:t>18</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Rental</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Oakland County HOME Consortium</w:t>
            </w:r>
            <w:r>
              <w:rPr>
                <w:rFonts w:ascii="Calibri" w:hAnsi="Calibri"/>
                <w:color w:val="000000"/>
                <w:sz w:val="22"/>
              </w:rPr>
              <w:br/>
              <w:t xml:space="preserve"/>
            </w:r>
            <w:r>
              <w:rPr>
                <w:rFonts w:ascii="Calibri" w:hAnsi="Calibri"/>
                <w:color w:val="000000"/>
                <w:sz w:val="22"/>
              </w:rPr>
              <w:t xml:space="preserve">Oakland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Discrimination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HOME/RENTAL DEVELOPMENT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$1,453,946</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Contracts with qualified developers to create affordable housing for income qualified renters through acquisition, rehabilitation or new construction.</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6/30/2022</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3</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Specific and variable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Acquisition, Housing Rehabilitation, New Construction</w:t>
            </w:r>
          </w:p>
        </w:tc>
      </w:tr>
    </w:tbl>
    <w:bookmarkEnd w:id="2"/>
    <w:p>
      <w:pPr>
        <w:pStyle w:val="Heading2"/>
        <w:pageBreakBefore/>
        <w:widowControl w:val="false"/>
        <w:rPr>
          <w:rFonts w:ascii="Calibri" w:hAnsi="Calibri"/>
          <w:i w:val="false"/>
        </w:rPr>
      </w:pPr>
      <w:r>
        <w:rPr>
          <w:rFonts w:ascii="Calibri" w:hAnsi="Calibri"/>
          <w:i w:val="false"/>
        </w:rPr>
        <w:t>AP-50 Geographic Distribution - 91.420, 91.220(f)</w:t>
      </w:r>
    </w:p>
    <w:p>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Oakland County Neighborhood &amp; Housing Development administers HUD CPD grant programs through the authorization of the Oakland County Board of Commissioners. Current programs consist of CDBG, HOME and ESG. Oakland County targets these program funds towards low income areas, individuals and households as prioritized by HUD, based on Oakland County demographics and U.S. Census Bureau estimates. In addition to these programs, the Division continues to administer Neighborhood Stabilization Programs (NSP).</w:t>
      </w:r>
    </w:p>
    <w:p>
      <w:pPr>
        <w:keepNext/>
        <w:widowControl w:val="false"/>
        <w:spacing w:beforeAutospacing="true" w:afterAutospacing="true"/>
        <w:rPr>
          <w:rFonts w:cs="Arial"/>
          <w:szCs w:val="26"/>
        </w:rPr>
      </w:pPr>
      <w:r>
        <w:rPr>
          <w:rFonts w:cs="Arial"/>
        </w:rPr>
        <w:t xml:space="preserve">The County contains 61 units of general local government, including twenty-one townships, ten villages and thirty cities. The following fifty-three (87%) of Oakland County communities participate in the County's "Urban County" CDBG housing and community development programs: </w:t>
      </w:r>
      <w:r>
        <w:rPr>
          <w:rFonts w:cs="Arial"/>
          <w:b/>
        </w:rPr>
        <w:t xml:space="preserve">Cities</w:t>
      </w:r>
      <w:r>
        <w:rPr>
          <w:rFonts w:cs="Arial"/>
        </w:rPr>
        <w:t xml:space="preserve"> - Auburn Hills, Berkley, Birmingham, Bloomfield Hills, Clarkston, Clawson, Farmington, Ferndale, Hazel Park, Huntington Woods, Keego Harbor, Lathrup Village, Madison Heights, Northville, Novi, Oak Park, Orchard Lake Village, Pleasant Ridge, Pontiac, Rochester, Rochester Hills, South Lyon, Sylvan Lake, Troy, Walled Lake, Wixom </w:t>
      </w:r>
      <w:r>
        <w:rPr>
          <w:rFonts w:cs="Arial"/>
          <w:b/>
        </w:rPr>
        <w:t xml:space="preserve">Townships</w:t>
      </w:r>
      <w:r>
        <w:rPr>
          <w:rFonts w:cs="Arial"/>
        </w:rPr>
        <w:t xml:space="preserve"> - Addison, Bloomfield, Brandon, Commerce, Groveland, Highland, Holly, Independence, Lyon, Milford, Oakland, Orion, Oxford, Rose, Royal Oak, Springfield, West Bloomfield, White Lake </w:t>
      </w:r>
      <w:r>
        <w:rPr>
          <w:rFonts w:cs="Arial"/>
          <w:b/>
        </w:rPr>
        <w:t xml:space="preserve">Villages</w:t>
      </w:r>
      <w:r>
        <w:rPr>
          <w:rFonts w:cs="Arial"/>
        </w:rPr>
        <w:t xml:space="preserve"> - Beverly Hills, Franklin, Holly, Lake Orion, Leonard, Milford, Ortonville, Oxford and Wolverine Lake.</w:t>
      </w:r>
    </w:p>
    <w:p>
      <w:pPr>
        <w:keepNext/>
        <w:widowControl w:val="false"/>
        <w:spacing w:beforeAutospacing="true" w:afterAutospacing="true"/>
        <w:rPr>
          <w:rFonts w:cs="Arial"/>
          <w:szCs w:val="26"/>
        </w:rPr>
      </w:pPr>
      <w:r>
        <w:rPr>
          <w:rFonts w:cs="Arial"/>
        </w:rPr>
        <w:t xml:space="preserve">Farmington Hills, Royal Oak, Southfield and the Waterford Township are HUD entitlement communities. These communities with over 50,000 residents are "entitled" to receive HUD funds and have chosen to administer their own CDBG programs. The City of Lake Angelus, Novi Township, Southfield Township and the Village of Bingham Farms do not receive HUD funds.</w:t>
      </w:r>
    </w:p>
    <w:p>
      <w:pPr>
        <w:keepNext/>
        <w:widowControl w:val="false"/>
        <w:spacing w:beforeAutospacing="true" w:afterAutospacing="true"/>
        <w:rPr>
          <w:rFonts w:cs="Arial"/>
          <w:szCs w:val="26"/>
        </w:rPr>
      </w:pPr>
      <w:r>
        <w:rPr>
          <w:rFonts w:cs="Arial"/>
          <w:b/>
        </w:rPr>
        <w:t xml:space="preserve">City of Pontiac Joint Agreement</w:t>
      </w:r>
      <w:r>
        <w:rPr>
          <w:rFonts w:cs="Arial"/>
        </w:rPr>
        <w:t xml:space="preserve"> - HUD requires the County to enter into a 3-year Cooperation Agreement with each participating community to join the “Urban County”. The City of Pontiac signed a Cooperation Agreement in 2017 to participate in the county's PY2018-2020 “Urban County” programs. Pontiac participates under a "Joint Agreement" allowing it to retain “Metropolitan City” (MC) status and HUD to allocate more funding to the County on the City's behalf by using formula ("B") for the City. HUD uses formula "A" to calculate the County’s CDBG program funding for the remaining fifty-two participating communities.</w:t>
      </w:r>
    </w:p>
    <w:p>
      <w:pPr>
        <w:keepNext/>
        <w:widowControl w:val="false"/>
        <w:spacing w:beforeAutospacing="true" w:afterAutospacing="true"/>
        <w:rPr>
          <w:rFonts w:cs="Arial"/>
          <w:szCs w:val="26"/>
        </w:rPr>
      </w:pPr>
      <w:r>
        <w:rPr>
          <w:rFonts w:cs="Arial"/>
          <w:b/>
        </w:rPr>
        <w:t xml:space="preserve">Oakland County HOME Consortium</w:t>
      </w:r>
      <w:r>
        <w:rPr>
          <w:rFonts w:cs="Arial"/>
        </w:rPr>
        <w:t xml:space="preserve"> - In 2018, the Oakland County HOME Consortium Agreement with Farmington Hills, Royal Oak, Pontiac, Southfield and Waterford Township was renewed for PY 2019-2021 </w:t>
      </w:r>
      <w:r>
        <w:rPr>
          <w:rFonts w:cs="Arial"/>
        </w:rPr>
        <w:t xml:space="preserve">[BS2]</w:t>
      </w:r>
      <w:r>
        <w:rPr>
          <w:rFonts w:cs="Arial"/>
        </w:rPr>
        <w:t xml:space="preserve"> to receive and administer HOME funds as a single entity. The Division is in the process of renewing the HOME Consortium. Oakland County serves as the lead entity for the Oakland County HOME Consortium (OCHC). The HOME program funds HIP, Rental Development/Preservation gap financing and CHDO activities throughout Consortium communities. A map showing the geographic areas where assistance will be directed can be found in ES-05 Executive Summary.</w:t>
      </w:r>
    </w:p>
    <w:p>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trPr>
          <w:cantSplit/>
          <w:tblHeader/>
        </w:trPr>
        <w:tc>
          <w:tcPr>
            <w:tcW w:w="0" w:type="auto"/>
          </w:tcPr>
          <w:p>
            <w:pPr>
              <w:keepNext/>
              <w:widowControl w:val="false"/>
              <w:spacing w:after="0" w:line="240" w:lineRule="auto"/>
              <w:jc w:val="center"/>
              <w:rPr>
                <w:b/>
                <w:szCs w:val="24"/>
              </w:rPr>
            </w:pPr>
            <w:r>
              <w:rPr>
                <w:b/>
              </w:rPr>
              <w:t>Target Area</w:t>
            </w:r>
          </w:p>
        </w:tc>
        <w:tc>
          <w:tcPr>
            <w:tcW w:w="0" w:type="auto"/>
          </w:tcPr>
          <w:p>
            <w:pPr>
              <w:keepNext/>
              <w:widowControl w:val="false"/>
              <w:spacing w:after="0" w:line="240" w:lineRule="auto"/>
              <w:jc w:val="center"/>
              <w:rPr>
                <w:b/>
                <w:szCs w:val="24"/>
              </w:rPr>
            </w:pPr>
            <w:r>
              <w:rPr>
                <w:b/>
              </w:rPr>
              <w:t>Percentage of Funds</w:t>
            </w:r>
          </w:p>
        </w:tc>
      </w:tr>
      <w:tr>
        <w:trPr>
          <w:cantSplit w:val="true"/>
        </w:trPr>
        <w:tc>
          <w:tcPr>
            <w:vAlign w:val="top"/>
          </w:tcPr>
          <w:p>
            <w:pPr>
              <w:spacing w:beforeAutospacing="true" w:afterAutospacing="true"/>
              <w:jc w:val="left"/>
            </w:pPr>
            <w:r>
              <w:rPr>
                <w:rFonts w:ascii="Calibri" w:hAnsi="Calibri"/>
                <w:color w:val="000000"/>
                <w:sz w:val="22"/>
              </w:rPr>
              <w:t xml:space="preserve">Oakland County HOME Consortium</w:t>
            </w:r>
          </w:p>
        </w:tc>
        <w:tc>
          <w:tcPr>
            <w:vAlign w:val="bottom"/>
          </w:tcPr>
          <w:p>
            <w:pPr>
              <w:spacing w:beforeAutospacing="true" w:afterAutospacing="true"/>
              <w:jc w:val="right"/>
            </w:pPr>
            <w:r>
              <w:rPr>
                <w:rFonts w:ascii="Calibri" w:hAnsi="Calibri"/>
                <w:color w:val="000000"/>
                <w:sz w:val="22"/>
              </w:rPr>
              <w:t xml:space="preserve">33</w:t>
            </w:r>
          </w:p>
        </w:tc>
      </w:tr>
      <w:tr>
        <w:trPr>
          <w:cantSplit w:val="true"/>
        </w:trPr>
        <w:tc>
          <w:tcPr>
            <w:vAlign w:val="top"/>
          </w:tcPr>
          <w:p>
            <w:pPr>
              <w:spacing w:beforeAutospacing="true" w:afterAutospacing="true"/>
              <w:jc w:val="left"/>
            </w:pPr>
            <w:r>
              <w:rPr>
                <w:rFonts w:ascii="Calibri" w:hAnsi="Calibri"/>
                <w:color w:val="000000"/>
                <w:sz w:val="22"/>
              </w:rPr>
              <w:t xml:space="preserve">Oakland County</w:t>
            </w:r>
          </w:p>
        </w:tc>
        <w:tc>
          <w:tcPr>
            <w:vAlign w:val="bottom"/>
          </w:tcPr>
          <w:p>
            <w:pPr>
              <w:spacing w:beforeAutospacing="true" w:afterAutospacing="true"/>
              <w:jc w:val="right"/>
            </w:pPr>
            <w:r>
              <w:rPr>
                <w:rFonts w:ascii="Calibri" w:hAnsi="Calibri"/>
                <w:color w:val="000000"/>
                <w:sz w:val="22"/>
              </w:rPr>
              <w:t xml:space="preserve">67</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pPr>
        <w:spacing w:after="0" w:line="240" w:lineRule="auto"/>
        <w:rPr>
          <w:b/>
          <w:sz w:val="24"/>
          <w:szCs w:val="24"/>
        </w:rPr>
      </w:pPr>
    </w:p>
    <w:p>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b/>
        </w:rPr>
        <w:t xml:space="preserve">Oakland County CDBG -</w:t>
      </w:r>
      <w:r>
        <w:rPr>
          <w:rFonts w:cs="Arial"/>
        </w:rPr>
        <w:t xml:space="preserve"> CDBG funds are distributed based on an allocation method approved by the BOC. The method deducts administrative costs up to 20% from the grant and apportions 1/3 of the grant balance to the Home Improvement Program (HIP) and 2/3 of the balance to 53 participating communities (PC's). The allocation of funds to PC's follows the federal CDBG "option one" method from the Housing and Community Development Act, as amended [42 USC 5306(b) (2)]. The County formula is: (P+3L)/4 P= ratio of a PC's population to population in all PC's L= ratio of community's low-income (LI) population to that of all PC's.  The LI ratio is factored 3 times and then multiplied by the total amount of funds available each year. All PC’s falling below $7,000 receive $7,000 as a minimum award. </w:t>
      </w:r>
    </w:p>
    <w:p>
      <w:pPr>
        <w:keepNext/>
        <w:widowControl w:val="false"/>
        <w:spacing w:beforeAutospacing="true" w:afterAutospacing="true"/>
        <w:rPr>
          <w:rFonts w:cs="Arial"/>
          <w:szCs w:val="24"/>
        </w:rPr>
      </w:pPr>
      <w:r>
        <w:rPr>
          <w:rFonts w:cs="Arial"/>
          <w:b/>
        </w:rPr>
        <w:t xml:space="preserve">Oakland County HOME -</w:t>
      </w:r>
      <w:r>
        <w:rPr>
          <w:rFonts w:cs="Arial"/>
        </w:rPr>
        <w:t xml:space="preserve"> Oakland County invests HOME and CDBG funds in the HIP which operates throughout 57 communities on a 1st-come 1st-serve basis targeting applicants who qualify as LI homeowners of single-family (SF) owner-occupied units in PC's. CDBG funds are also used to operate the HIP for owner occupants of attached SF rental (2-4 units) in Urban County PC's. Qualified Community Housing Development Organizations (CHDOs) may also receive HOME to construct or rehabilitate affordable SF (1- 4 units) and multifamily rental housing in 57 communities. This investment targets renters at or below 60% of area median income. CHDOs will be able to increase the supply of rental units by Acquisition/Rehabilitation or New Construction.  A portion of HOME program income (PI) will be designated to CHDOs to fund homeownership opportunities for persons prioritized as LI, 1st time homebuyers in Consortium communities. Homebuyer assistance is provided to make homeownership affordable. HOME funds will also be reserved to provide gap financing for developers to build/rehabilitate affordable rental housing.  </w:t>
      </w:r>
    </w:p>
    <w:p>
      <w:pPr>
        <w:keepNext/>
        <w:widowControl w:val="false"/>
        <w:spacing w:beforeAutospacing="true" w:afterAutospacing="true"/>
        <w:rPr>
          <w:rFonts w:cs="Arial"/>
          <w:szCs w:val="24"/>
        </w:rPr>
      </w:pPr>
      <w:r>
        <w:rPr>
          <w:rFonts w:cs="Arial"/>
          <w:b/>
        </w:rPr>
        <w:t xml:space="preserve">Oakland County ESG –</w:t>
      </w:r>
      <w:r>
        <w:rPr>
          <w:rFonts w:cs="Arial"/>
        </w:rPr>
        <w:t xml:space="preserve"> Emergency Shelter: distributed among eligible shelter providers that complete the application process. The allocation to each agency would be based on the individual agency’s total number of persons served each day/night for the period of 7/1 - 6/30 of the previous year as a % of total served. The Shelter Operations portion of the grant shall be no more than 60% of the grant and never more than the 2010 level. Homeless Management Information System (HMIS) - The HMIS lead agency will receive up to 7.5% to ensure that shelter personnel are trained, and that reported data is complete and correct.  Administration - The County retains 7.5% for administration, planning, implementation, reimbursement and reporting. Housing Relocation and Stabilization Services/Rental Assistance - The balance of the grant will be allocated for Homeless Prevention and/or Rapid Re-Housing programs. A maximum of 2 agencies will be funded through an RFP based on a point criteria: (Capacity/Experience 40), Outreach Plan (25) HMIS (15), prior experience with use of Mainstream Resources/Leveraging (15) and CoC participation (5).</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b/>
        </w:rPr>
        <w:t xml:space="preserve">Federal CDBG Formula</w:t>
      </w:r>
      <w:r>
        <w:rPr>
          <w:rFonts w:cs="Arial"/>
        </w:rPr>
        <w:t xml:space="preserve"> - After setting aside funds for technical assistance, projects specified by Congress and the Indian CDBG program, the annual appropriation for CDBG is split, 70% allocated among eligible metropolitan cities and counties (referred to as entitlement communities) and 30% among states to serve non-entitled areas. HUD uses 2 formulas, A and B, to allocate CDBG to entitlements. A similar dual formula allocates funds to states. For entitlements, Formula A allocates funds to a community based on its metropolitan share of: (1) population weighted 25%; (2) poverty weighted 50%; and (3) overcrowding, weighted 25%, times appropriations. Formula B allocates funds based on: the metropolitan share of: (1) growth lag, weighted 20%; (2) poverty, weighted 30% and (3) pre-1940 housing weighted 50%, times appropriation. HUD calculates the amount for each entitlement under each formula. Jurisdictions are then assigned the larger of the two. That is, if a jurisdiction gets more funds under A than B, the grant amount is based on A. With this dual system, the total assigned to grantees has always exceeded the total amount available through appropriation. To bring the total grant amount allocated to entitlement communities within the appropriated amount, HUD uses a pro rata reduction.</w:t>
      </w:r>
    </w:p>
    <w:p>
      <w:pPr>
        <w:keepNext/>
        <w:widowControl w:val="false"/>
        <w:spacing w:beforeAutospacing="true" w:afterAutospacing="true"/>
        <w:rPr>
          <w:b/>
          <w:sz w:val="24"/>
          <w:szCs w:val="24"/>
        </w:rPr>
      </w:pPr>
      <w:r>
        <w:rPr>
          <w:rFonts w:cs="Arial"/>
          <w:b/>
        </w:rPr>
        <w:t xml:space="preserve">2011-2015 Low/Moderate Income Summary Data (LMISD)</w:t>
      </w:r>
      <w:r>
        <w:rPr>
          <w:rFonts w:cs="Arial"/>
        </w:rPr>
        <w:t xml:space="preserve"> - HUD announced that new LMISD will go into effect on 4/1/19. These data are used to qualify all new area-benefit activities as of 4/1/19. HUD released Community Planning and Development Notice 19-02 which provides guidance on geographic datasets used for compliance purposes with CDBG grant requirements.</w:t>
      </w:r>
    </w:p>
    <w:p>
      <w:pPr>
        <w:keepNext/>
        <w:widowControl w:val="false"/>
        <w:spacing w:beforeAutospacing="true" w:afterAutospacing="true"/>
        <w:rPr>
          <w:b/>
          <w:sz w:val="24"/>
          <w:szCs w:val="24"/>
        </w:rPr>
      </w:pPr>
      <w:r>
        <w:rPr>
          <w:rFonts w:cs="Arial"/>
        </w:rPr>
        <w:t xml:space="preserve">The Notice:</w:t>
      </w:r>
      <w:r>
        <w:rPr>
          <w:rFonts w:cs="Arial"/>
        </w:rPr>
        <w:br/>
        <w:t xml:space="preserve"/>
      </w:r>
      <w:r>
        <w:rPr>
          <w:rFonts w:cs="Arial"/>
        </w:rPr>
        <w:t xml:space="preserve">• Announces the publication of the LMISD based on the American Community Survey (ACS) 2011- 2015 5-year estimates (2015 ACS). These data will replace the prior LMISD based on the ACS 2006-2010 5-year estimates (2010 ACS) for the purposes of demonstrating compliance with the CDBG National Objective of providing benefit to low- and moderate-income persons on an area basis (“Area Benefit” or LMA) and other purposes discussed this Notice;</w:t>
      </w:r>
      <w:r>
        <w:rPr>
          <w:rFonts w:cs="Arial"/>
        </w:rPr>
        <w:br/>
        <w:t xml:space="preserve"/>
      </w:r>
      <w:r>
        <w:rPr>
          <w:rFonts w:cs="Arial"/>
        </w:rPr>
        <w:t xml:space="preserve">• Effective Date and Transition Policy. Announces an effective date of 4/1/19 for use of the 2015 ACS LMISD to qualify LMA activities; and, provides a transition policy for circumstances when prior 2010 ACS LMISD may continue to be used; • How to Use the LMISD. Explains the geographic format of these data and how to use the LMISD to demonstrate compliance for LMA activities;</w:t>
      </w:r>
      <w:r>
        <w:rPr>
          <w:rFonts w:cs="Arial"/>
        </w:rPr>
        <w:br/>
        <w:t xml:space="preserve"/>
      </w:r>
      <w:r>
        <w:rPr>
          <w:rFonts w:cs="Arial"/>
        </w:rPr>
        <w:t xml:space="preserve">• Margin of Error. Announces the publication of margin of error (MOE) data for all geographies in the LMISD, including all census places and block groups, and provides instructions for use. Additionally, this Notice describes guidance regarding the confidence interval and acceptable MOE for local income surveys, based on the LMISD MOE;</w:t>
      </w:r>
      <w:r>
        <w:rPr>
          <w:rFonts w:cs="Arial"/>
        </w:rPr>
        <w:br/>
        <w:t xml:space="preserve"/>
      </w:r>
      <w:r>
        <w:rPr>
          <w:rFonts w:cs="Arial"/>
        </w:rPr>
        <w:t xml:space="preserve">• Additional Geographic Data. Announces that HUD will set a 5-year publication schedule for other geographic data used for reporting race/ethnicity, disability, and age of beneficiaries, as well as poverty data used to qualify certain activities for assistance; and,</w:t>
      </w:r>
      <w:r>
        <w:rPr>
          <w:rFonts w:cs="Arial"/>
        </w:rPr>
        <w:br/>
        <w:t xml:space="preserve"/>
      </w:r>
      <w:r>
        <w:rPr>
          <w:rFonts w:cs="Arial"/>
        </w:rPr>
        <w:t xml:space="preserve">• Reporting LMA Benefit. Provides instruction for reporting LMA activities in the grantee reporting systems for the various programs.</w:t>
      </w:r>
    </w:p>
    <w:p>
      <w:pPr>
        <w:keepNext/>
        <w:widowControl w:val="false"/>
        <w:spacing w:beforeAutospacing="true" w:afterAutospacing="true"/>
        <w:rPr>
          <w:b/>
          <w:sz w:val="24"/>
          <w:szCs w:val="24"/>
        </w:rPr>
      </w:pPr>
      <w:r>
        <w:rPr>
          <w:rFonts w:cs="Arial"/>
          <w:b/>
        </w:rPr>
        <w:t xml:space="preserve">CDBG</w:t>
      </w:r>
      <w:r>
        <w:rPr>
          <w:rFonts w:cs="Arial"/>
        </w:rPr>
        <w:t xml:space="preserve"> - Eighty percent of all CDBG funds are allocated to benefit fifty-three participating communities.</w:t>
      </w:r>
      <w:r>
        <w:rPr>
          <w:rFonts w:cs="Arial"/>
        </w:rPr>
        <w:br/>
        <w:t xml:space="preserve"/>
      </w:r>
      <w:r>
        <w:rPr>
          <w:rFonts w:cs="Arial"/>
          <w:b/>
        </w:rPr>
        <w:t xml:space="preserve">HOME</w:t>
      </w:r>
      <w:r>
        <w:rPr>
          <w:rFonts w:cs="Arial"/>
        </w:rPr>
        <w:t xml:space="preserve"> - All HOME funded activities are available in the 57 HOME Consortium communities.</w:t>
      </w:r>
      <w:r>
        <w:rPr>
          <w:rFonts w:cs="Arial"/>
        </w:rPr>
        <w:br/>
        <w:t xml:space="preserve"/>
      </w:r>
      <w:r>
        <w:rPr>
          <w:rFonts w:cs="Arial"/>
          <w:b/>
        </w:rPr>
        <w:t xml:space="preserve">ESG</w:t>
      </w:r>
      <w:r>
        <w:rPr>
          <w:rFonts w:cs="Arial"/>
        </w:rPr>
        <w:t xml:space="preserve"> - Emergency Solutions Grant typically funds 6 shelters. HAVEN, Hope Hospitality and Lighthouse of Michigan’s PATH program are centrally located in Pontiac. Community Ground Sanctuary is in the southeastern community of Royal Oak. Welcome Inn Day Center is in the southcentral community of Southfield. South Oakland Shelter is a rotating shelter with locations throughout the County. The ESG funded HPRRP is available countywide.</w:t>
      </w:r>
    </w:p>
    <w:p>
      <w:pPr>
        <w:rPr>
          <w:rFonts w:cs="Arial"/>
        </w:rPr>
      </w:pPr>
    </w:p>
    <w:p>
      <w:pPr>
        <w:pStyle w:val="Heading1"/>
        <w:pageBreakBefore/>
        <w:jc w:val="center"/>
        <w:rPr>
          <w:rFonts w:ascii="Calibri" w:hAnsi="Calibri"/>
          <w:color w:val="auto"/>
          <w:sz w:val="32"/>
          <w:szCs w:val="32"/>
        </w:rPr>
      </w:pPr>
      <w:r>
        <w:rPr>
          <w:rFonts w:ascii="Calibri" w:hAnsi="Calibri"/>
          <w:color w:val="auto"/>
          <w:sz w:val="32"/>
          <w:szCs w:val="32"/>
        </w:rPr>
      </w:r>
    </w:p>
    <w:p>
      <w:pPr>
        <w:pStyle w:val="Heading2"/>
        <w:widowControl w:val="false"/>
        <w:rPr>
          <w:rFonts w:ascii="Calibri" w:hAnsi="Calibri"/>
          <w:i w:val="false"/>
        </w:rPr>
      </w:pPr>
      <w:r>
        <w:rPr>
          <w:rFonts w:ascii="Calibri" w:hAnsi="Calibri"/>
          <w:i w:val="false"/>
        </w:rPr>
        <w:t xml:space="preserve">AP-65 Homeless and Other Special Needs Activities - 91.420, 91.220(i) </w:t>
      </w:r>
      <w:r>
        <w:rPr>
          <w:rFonts w:ascii="Calibri" w:hAnsi="Calibri"/>
        </w:rPr>
      </w:r>
    </w:p>
    <w:p>
      <w:pPr>
        <w:keepNext/>
        <w:widowControl w:val="false"/>
        <w:spacing w:line="204" w:lineRule="auto"/>
        <w:rPr>
          <w:b/>
          <w:sz w:val="24"/>
          <w:szCs w:val="24"/>
        </w:rPr>
      </w:pPr>
      <w:r>
        <w:rPr>
          <w:b/>
          <w:sz w:val="24"/>
          <w:szCs w:val="24"/>
        </w:rPr>
        <w:t xml:space="preserve">Introduction </w:t>
      </w:r>
      <w:r>
        <w:rPr>
          <w:b/>
          <w:i/>
          <w:sz w:val="24"/>
          <w:szCs w:val="24"/>
        </w:rPr>
      </w:r>
    </w:p>
    <w:p>
      <w:pPr>
        <w:keepNext/>
        <w:widowControl w:val="false"/>
        <w:spacing w:line="204" w:lineRule="auto"/>
        <w:rPr>
          <w:b/>
          <w:sz w:val="24"/>
          <w:szCs w:val="24"/>
        </w:rPr>
      </w:pPr>
      <w:r>
        <w:t xml:space="preserve"> </w:t>
      </w:r>
    </w:p>
    <w:p>
      <w:pPr>
        <w:keepNext/>
        <w:widowControl w:val="false"/>
        <w:spacing w:beforeAutospacing="true" w:afterAutospacing="true"/>
        <w:rPr>
          <w:b/>
          <w:sz w:val="24"/>
          <w:szCs w:val="24"/>
        </w:rPr>
      </w:pPr>
      <w:r>
        <w:rPr>
          <w:rFonts w:cs="Arial"/>
        </w:rPr>
        <w:t xml:space="preserve">The NHD has administered the Emergency Solutions Grant (ESG) program since 1987 and is a member of the Alliance for Housing of Oakland County, the Continuum of Care. The Alliance is a 501(c) (3), non-profit organization working toward a common goal to end homelessness and increase affordable housing opportunities. The Alliance is made up of many organizations from the private and public sector including emergency shelters, warming centers, providers of health services including mental health and developmental disability services, affordable housing developers, supportive housing programs, municipalities, government agencies, faith-based service providers and more. The Alliance competes nationally for funding including annual applications for HUD Continuum of Care Homeless Assistance Grants. The FY 2019 award for the Pontiac, Royal Oak/Oakland County Continuum of Care is $6,645,037. Additional information is available at </w:t>
      </w:r>
      <w:r>
        <w:rPr>
          <w:rFonts w:cs="Arial"/>
        </w:rPr>
        <w:t xml:space="preserve">https://files.hudexchange.info/resources/documents/2020-michigan-coc-grants.pdf</w:t>
      </w:r>
      <w:r>
        <w:rPr>
          <w:rFonts w:cs="Arial"/>
        </w:rPr>
        <w:t xml:space="preserve">. The FY20 grants entailed an automatic renewal of all existing grants without application to the COVID-19 pandemic.</w:t>
      </w:r>
    </w:p>
    <w:p>
      <w:pPr>
        <w:keepNext/>
        <w:widowControl w:val="false"/>
        <w:rPr>
          <w:b/>
          <w:sz w:val="24"/>
          <w:szCs w:val="24"/>
        </w:rPr>
      </w:pPr>
      <w:r>
        <w:rPr>
          <w:b/>
          <w:sz w:val="24"/>
          <w:szCs w:val="24"/>
        </w:rPr>
        <w:t>Describe the jurisdictions one-year goals and actions for reducing and ending homelessness including</w:t>
      </w:r>
      <w:r>
        <w:rPr>
          <w:b/>
          <w:i/>
          <w:sz w:val="24"/>
          <w:szCs w:val="24"/>
        </w:rPr>
      </w:r>
    </w:p>
    <w:p>
      <w:pPr>
        <w:keepNext/>
        <w:widowControl w:val="false"/>
        <w:rPr>
          <w:b/>
          <w:sz w:val="24"/>
          <w:szCs w:val="24"/>
        </w:rPr>
      </w:pPr>
      <w:r>
        <w:rPr>
          <w:b/>
          <w:sz w:val="24"/>
          <w:szCs w:val="24"/>
        </w:rPr>
        <w:t>Reaching out to homeless persons (especially unsheltered persons) and assessing their individual needs</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Continuum of Care's efforts to reduce the number of individuals and families who become homeless are driven by its Plan to End Homelessness. This plan was written in 2006 and has been updated several times. The Alliance for Housing (CoC) has developed a strategic Plan in addition to the original plan. Most of the original goals have been made. Oakland County is currently working on establishing a “Blueprint to End Homelessness” during 2021 to seek new goals, ensure equity in programming, increase alternative funding sources and to become a unified funding agency under the HEARTH Act.  Under the current plan Goal 3 states: Increase and strengthen the amount of prevention, both emergency and system-wide and Rapid Re-Housing Services. Strategies under this goal to reduce homelessness include addressing impediments to fair housing choice as identified in the Oakland County Con Plan Jurisdictions’ Analyses of Impediments. All strategies to achieve this goal are coordinated with ESG recipients. Oakland County Con Plan jurisdictions address homelessness prevention by contributing to the achievement of the goals through emergency service dollars.</w:t>
      </w:r>
    </w:p>
    <w:p>
      <w:pPr>
        <w:keepNext/>
        <w:widowControl w:val="false"/>
        <w:spacing w:beforeAutospacing="true" w:afterAutospacing="true"/>
        <w:rPr>
          <w:rFonts w:cs="Arial"/>
        </w:rPr>
      </w:pPr>
      <w:r>
        <w:rPr>
          <w:rFonts w:cs="Arial"/>
        </w:rPr>
        <w:t xml:space="preserve">The Continuum of Care’s efforts focus on relationship building and outreach. Physical outreach is targeted to emergency shelters, warming centers and the streets. Brochures and flyers are distributed at shelters, human services agencies, schools, WIC providers, libraries and other areas frequented by at-risk families. Outreach includes press releases, the Continuum of Care website and newsletters. Homeless Student Liaisons provide a means for reaching families through the schools. Program staff works to build trust; many unsheltered families fear their children will be taken from them if discovered. Contact focuses on introducing services to engage, rather than frighten or alienate and works to quickly identify housing. When the family accepts the system of care, they are likely to stay engaged, improving the chance of long-term success.</w:t>
      </w:r>
    </w:p>
    <w:p>
      <w:pPr>
        <w:keepNext/>
        <w:widowControl w:val="false"/>
        <w:spacing w:beforeAutospacing="true" w:afterAutospacing="true"/>
        <w:rPr>
          <w:rFonts w:cs="Arial"/>
        </w:rPr>
      </w:pPr>
      <w:r>
        <w:rPr>
          <w:rFonts w:cs="Arial"/>
        </w:rPr>
        <w:t xml:space="preserve">The Continuum of Care has specific outreach procedures in place to identify and engage homeless individuals and families. Projects for Assistance in Transition from Homelessness (PATH) teams canvass community shelters and the streets to engage homeless in obtaining services. Unsheltered homeless are the most difficult to engage and least likely to seek assistance. By meeting homeless individuals and families where they are, team members gain trust and make connections to resources and services. The Continuum of Care also hosts annual Community Resource Day events to introduce and immediate access to resources. Housing and services providers serve persons with disabilities and ensure accessibility through a variety of accommodations.</w:t>
      </w:r>
    </w:p>
    <w:p>
      <w:pPr>
        <w:keepNext/>
        <w:widowControl w:val="false"/>
        <w:spacing w:beforeAutospacing="true" w:afterAutospacing="true"/>
        <w:rPr>
          <w:rFonts w:cs="Arial"/>
        </w:rPr>
      </w:pPr>
      <w:r>
        <w:rPr>
          <w:rFonts w:cs="Arial"/>
        </w:rPr>
        <w:t xml:space="preserve">Additionally, Continuum of Care providers who operate outreach services all have Language Access Plans (LAP) in place to aid with persons with limited English proficiency or other language barriers that may prevent access to services. Interpretation services are provided by organizations such as ACCESS for Arabic translations and deaf interpreters accessed through the State of Michigan Division on Deaf, DeafBlind and Hard of Hearing. Oakland County has a contract with Telelanguage which provides more than 150 language services including American Sign Language for any county administered program.</w:t>
      </w:r>
    </w:p>
    <w:p>
      <w:pPr>
        <w:keepNext/>
        <w:widowControl w:val="false"/>
        <w:rPr>
          <w:b/>
          <w:sz w:val="24"/>
          <w:szCs w:val="24"/>
        </w:rPr>
      </w:pPr>
      <w:r>
        <w:rPr>
          <w:b/>
          <w:sz w:val="24"/>
          <w:szCs w:val="24"/>
        </w:rPr>
        <w:t>Addressing the emergency shelter and transitional housing needs of homeless persons</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Recipient agencies conduct an initial evaluation to determine each individual or family’s eligibility for ESG assistance and the amount and types of assistance the household needs to regain stability in permanent housing. The evaluations are conducted in accordance with the centralized assessment requirements of the Oakland County Continuum of Care. After initial evaluation, a housing plan is developed, and a participant must meet with his or her caseworker as prescribed under the plan. Unless prohibited under the Violence Against Women Act, as amended or the Family Violence Prevention and Services Act, the recipient will be connected to appropriate supportive services including assistance in obtaining permanent housing, mental health treatment, counseling and other services essential for achieving independent living. They will also be linked to federal, state, local and private assistance available to assist with obtaining housing stability including Medicaid, food assistance, WIC, unemployment benefits, SSI, SSDI, Veteran’s benefits, medical assistance, legal aid, employment assistance and other locally available assistance programs. A plan will be developed to assist the program participant to retain permanent housing after the assistance ends, considering all relevant considerations such as the program participants current or expected income and expenses, other public or private assistance for which the program participant will be eligible and likely to receive, and the affordability of available housing in the area. Each participant will be linked to available PSH programs or the local Housing Choice Voucher (HCV) Programs, PHA and project based rental assistance when the waiting lists are open.</w:t>
      </w:r>
    </w:p>
    <w:p>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Oakland County ESG funds are used in part to fund a Homeless Prevention and/or Rapid Re-Housing (HPRRH) program. During PY 2020, South Oakland Shelter (SOS)/Lighthouse of Oakland County and Community Housing Network administered the HPRRH contracts and provided a combination of rental assistance, rental fees, utility assistance and case management to homeless and at risk of homeless households. SOS offers a twelve month follow up program of in-home case management that assisted 90% of HPRRH clients to maintain housing after one year.  With ESG-CV funds, the waivers were used to extend the amount of time a recipient can receive assistance to prevent further homelessness during the pandemic.</w:t>
      </w:r>
    </w:p>
    <w:p>
      <w:pPr>
        <w:keepNext/>
        <w:widowControl w:val="false"/>
        <w:spacing w:beforeAutospacing="true" w:afterAutospacing="true"/>
        <w:rPr>
          <w:rFonts w:cs="Arial"/>
        </w:rPr>
      </w:pPr>
      <w:r>
        <w:rPr>
          <w:rFonts w:cs="Arial"/>
        </w:rPr>
        <w:t xml:space="preserve">In the Continuum of Care geographic area, the average length of time families are homeless before entering a program is 1-3 months. The average length of time individuals are homeless before entering shelter is 1 week or less and 1-3 months for individuals entering transitional housing or permanent housing programs. As part of the intake assessment in HMIS, the length of homeless episodes is a universal data element and is routinely completed.</w:t>
      </w:r>
    </w:p>
    <w:p>
      <w:pPr>
        <w:keepNext/>
        <w:widowControl w:val="false"/>
        <w:spacing w:beforeAutospacing="true" w:afterAutospacing="true"/>
        <w:rPr>
          <w:rFonts w:cs="Arial"/>
        </w:rPr>
      </w:pPr>
      <w:r>
        <w:rPr>
          <w:rFonts w:cs="Arial"/>
        </w:rPr>
        <w:t xml:space="preserve">This data is collected and shared with the Systems Implementation and Coordination Committee, who is charged with developing plans to increase the effectiveness of funded and non-funded programs serving homeless populations. HMIS is analyzed to create plans to specifically reduce the length of time individuals and families remain homeless. Data from both Continuum of Care and ESG funded projects as well as non-HUD funded projects is considered with equal weight in the planning process. Planning includes strengthening existing program capacity and efficient connections to community programs including Housing Choice Voucher waitlists, mainstream services and other available programs.</w:t>
      </w:r>
    </w:p>
    <w:p>
      <w:pPr>
        <w:keepNext/>
        <w:widowControl w:val="false"/>
        <w:spacing w:beforeAutospacing="true" w:afterAutospacing="true"/>
        <w:rPr>
          <w:rFonts w:cs="Arial"/>
        </w:rPr>
      </w:pPr>
      <w:r>
        <w:rPr>
          <w:rFonts w:cs="Arial"/>
        </w:rPr>
        <w:t xml:space="preserve">The Continuum of Care is actively working to reduce returns to homelessness of individuals and families in its geographic area by tracking returns to homelessness and stays in permanent housing using HMIS. HMIS is used to generate and share quarterly reports which include data on episodes of homelessness experienced by participants who have exited rapid re-housing, transitional housing, and/or PSH. These reports are provided to the Board and the Project Monitoring and Performance Outcomes committee. Reports help to inform the overall technical assistance offered and ongoing strategic planning measurement and adjustments. Program specific technical assistance includes an examination of exit procedures as well as follow-up care procedures and accessibility.</w:t>
      </w:r>
    </w:p>
    <w:p>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r>
        <w:t xml:space="preserve"> </w:t>
      </w:r>
      <w:r>
        <w:rPr>
          <w:b/>
          <w:i/>
          <w:sz w:val="24"/>
          <w:szCs w:val="24"/>
        </w:rPr>
      </w:r>
    </w:p>
    <w:p>
      <w:pPr>
        <w:keepNext/>
        <w:widowControl w:val="false"/>
        <w:rPr>
          <w:rFonts w:cs="Arial"/>
          <w:szCs w:val="26"/>
        </w:rPr>
      </w:pPr>
      <w:r>
        <w:t xml:space="preserve"> </w:t>
      </w:r>
    </w:p>
    <w:p>
      <w:pPr>
        <w:keepNext/>
        <w:widowControl w:val="false"/>
        <w:spacing w:beforeAutospacing="true" w:afterAutospacing="true"/>
        <w:rPr>
          <w:rFonts w:cs="Arial"/>
          <w:szCs w:val="26"/>
        </w:rPr>
      </w:pPr>
      <w:r>
        <w:rPr>
          <w:rFonts w:cs="Arial"/>
        </w:rPr>
        <w:t xml:space="preserve">The following information is excerpted from the Neighborhood &amp; Housing Development ESG Homeless Certification.</w:t>
      </w:r>
      <w:r>
        <w:rPr>
          <w:rFonts w:cs="Arial"/>
        </w:rPr>
        <w:br/>
        <w:t xml:space="preserve"/>
      </w:r>
      <w:r>
        <w:rPr>
          <w:rFonts w:cs="Arial"/>
        </w:rPr>
        <w:t xml:space="preserve"> </w:t>
      </w:r>
      <w:r>
        <w:rPr>
          <w:rFonts w:cs="Arial"/>
          <w:b/>
        </w:rPr>
        <w:t xml:space="preserve">Persons living on the street -</w:t>
      </w:r>
      <w:r>
        <w:rPr>
          <w:rFonts w:cs="Arial"/>
        </w:rPr>
        <w:t xml:space="preserve"> Supportive services include outreach, food, health care and clothing to persons who reside on the streets. In most cases, it is not feasible to require the homeless persons to document that they reside on the street. It is enough for the agency’s staff to certify that the persons served, indeed, reside on the street. The outreach or service worker should sign and date a general certification verifying that services are going to homeless persons and indicating where the persons reside.</w:t>
      </w:r>
      <w:r>
        <w:rPr>
          <w:rFonts w:cs="Arial"/>
        </w:rPr>
        <w:br/>
        <w:t xml:space="preserve"/>
      </w:r>
      <w:r>
        <w:rPr>
          <w:rFonts w:cs="Arial"/>
        </w:rPr>
        <w:t xml:space="preserve"> </w:t>
      </w:r>
      <w:r>
        <w:rPr>
          <w:rFonts w:cs="Arial"/>
          <w:b/>
        </w:rPr>
        <w:t xml:space="preserve">Persons coming from living on the street -</w:t>
      </w:r>
      <w:r>
        <w:rPr>
          <w:rFonts w:cs="Arial"/>
        </w:rPr>
        <w:t xml:space="preserve"> The agency should obtain information to indicate that a participant is coming from the street. This may include names of other organizations or outreach workers who have assisted them in the recent past who might provide documentation. If you are unable to verify that the person is coming from residing on the street, have the participant prepare or you prepare a written statement about the participant’s previous living place and have the participant sign the statement and date it. Merely obtaining a self-certification is not adequate. If the participant was referred by an outreach worker or social service agency, you must obtain written verification from the referring organization regarding where the person has been residing. This verification should be on agency letterhead, signed and dated.</w:t>
      </w:r>
      <w:r>
        <w:rPr>
          <w:rFonts w:cs="Arial"/>
        </w:rPr>
        <w:br/>
        <w:t xml:space="preserve"/>
      </w:r>
      <w:r>
        <w:rPr>
          <w:rFonts w:cs="Arial"/>
        </w:rPr>
        <w:t xml:space="preserve"> </w:t>
      </w:r>
      <w:r>
        <w:rPr>
          <w:rFonts w:cs="Arial"/>
          <w:b/>
        </w:rPr>
        <w:t xml:space="preserve">Persons coming from an emergency shelter for homeless persons -</w:t>
      </w:r>
      <w:r>
        <w:rPr>
          <w:rFonts w:cs="Arial"/>
        </w:rPr>
        <w:t xml:space="preserve"> The agency should have written verification from shelter staff that the participant has been residing at the emergency shelter for homeless persons. The verification should be on agency letterhead, signed, and dated.</w:t>
      </w:r>
      <w:r>
        <w:rPr>
          <w:rFonts w:cs="Arial"/>
        </w:rPr>
        <w:br/>
        <w:t xml:space="preserve"/>
      </w:r>
      <w:r>
        <w:rPr>
          <w:rFonts w:cs="Arial"/>
        </w:rPr>
        <w:t xml:space="preserve"> </w:t>
      </w:r>
      <w:r>
        <w:rPr>
          <w:rFonts w:cs="Arial"/>
          <w:b/>
        </w:rPr>
        <w:t xml:space="preserve">Persons coming from transitional housing for homeless persons -</w:t>
      </w:r>
      <w:r>
        <w:rPr>
          <w:rFonts w:cs="Arial"/>
        </w:rPr>
        <w:t xml:space="preserve"> The agency should have written verification from the transitional housing facility staff that the participant has been residing in the transitional housing. The verification should be on agency letterhead, signed and dated. The agency should also have written verification that the participant was living on the streets or in an emergency shelter prior to living in the transitional housing facility (see above for required documentation) or was discharged from an institution or evicted prior to living in the transitional housing facility and would have been homeless if not for the transitional housing (see below for required documentation).</w:t>
      </w:r>
    </w:p>
    <w:p>
      <w:pPr>
        <w:keepNext/>
        <w:widowControl w:val="false"/>
        <w:spacing w:line="204" w:lineRule="auto"/>
        <w:rPr>
          <w:b/>
          <w:i/>
          <w:sz w:val="24"/>
          <w:szCs w:val="24"/>
        </w:rPr>
      </w:pPr>
      <w:r>
        <w:rPr>
          <w:b/>
          <w:sz w:val="24"/>
          <w:szCs w:val="24"/>
        </w:rPr>
        <w:t xml:space="preserve">Discussion </w:t>
      </w:r>
      <w:r>
        <w:rPr>
          <w:b/>
          <w:i/>
          <w:sz w:val="24"/>
          <w:szCs w:val="24"/>
        </w:rPr>
      </w:r>
    </w:p>
    <w:p>
      <w:pPr>
        <w:keepNext/>
        <w:widowControl w:val="false"/>
        <w:spacing w:beforeAutospacing="true" w:afterAutospacing="true"/>
        <w:rPr>
          <w:b/>
          <w:sz w:val="24"/>
          <w:szCs w:val="24"/>
        </w:rPr>
      </w:pPr>
      <w:r>
        <w:rPr>
          <w:rFonts w:cs="Arial"/>
          <w:b/>
        </w:rPr>
        <w:t xml:space="preserve">Persons from a short-term stay (up to 30 consecutive days) in an institution -</w:t>
      </w:r>
      <w:r>
        <w:rPr>
          <w:rFonts w:cs="Arial"/>
        </w:rPr>
        <w:t xml:space="preserve"> The agency should have written verification from the institution’s staff that the participant has been residing in the institution for 30 days or less. The verification should be signed and dated. The agency also should have written verification that the participant was residing on the street or in an emergency shelter prior to the short- term stay in the institution. See above for guidance.</w:t>
      </w:r>
      <w:r>
        <w:rPr>
          <w:rFonts w:cs="Arial"/>
        </w:rPr>
        <w:br/>
        <w:t xml:space="preserve"/>
      </w:r>
      <w:r>
        <w:rPr>
          <w:rFonts w:cs="Arial"/>
        </w:rPr>
        <w:t xml:space="preserve"> </w:t>
      </w:r>
      <w:r>
        <w:rPr>
          <w:rFonts w:cs="Arial"/>
          <w:b/>
        </w:rPr>
        <w:t xml:space="preserve">Persons being evicted from a private dwelling -</w:t>
      </w:r>
      <w:r>
        <w:rPr>
          <w:rFonts w:cs="Arial"/>
        </w:rPr>
        <w:t xml:space="preserve"> The agency must have evidence of the formal eviction proceedings indicating that the participant was being evicted within the week before receiving rental assistance. If the person’s family is evicting him/her, a statement describing the reason for eviction should be signed by the family member and dated. In other cases where there is no formal eviction process, persons are considered evicted when they are forced out of the dwelling unit by circumstances beyond their control. In those instances, the agency must obtain a signed and dated statement from the participant describing the situation. The agency must make efforts to confirm that these circumstances are true and have written verification describing the efforts and attesting to their validity. The verification should be signed and dated. The agency must also have information on the income of the participant and what efforts were made to obtain housing and why, without the rental assistance, the participant would be living on the street or in an emergency shelter.</w:t>
      </w:r>
      <w:r>
        <w:rPr>
          <w:rFonts w:cs="Arial"/>
        </w:rPr>
        <w:br/>
        <w:t xml:space="preserve"/>
      </w:r>
      <w:r>
        <w:rPr>
          <w:rFonts w:cs="Arial"/>
        </w:rPr>
        <w:t xml:space="preserve"> </w:t>
      </w:r>
      <w:r>
        <w:rPr>
          <w:rFonts w:cs="Arial"/>
          <w:b/>
        </w:rPr>
        <w:t xml:space="preserve">Persons being discharged from an institution -</w:t>
      </w:r>
      <w:r>
        <w:rPr>
          <w:rFonts w:cs="Arial"/>
        </w:rPr>
        <w:t xml:space="preserve"> The agency must have evidence from the institution’s staff that the participant was being discharged within the week before receiving rental assistance. The agency must also have information on the income of the participant and what efforts were made to obtain housing and why, without the rental assistance, the participant would be living on the street or in an emergency shelter.  Staff workers will reach out to those who are incarcerated in the Oakland County Jail and have identify as homeless to ensure an adequate discharge plan.</w:t>
      </w:r>
      <w:r>
        <w:rPr>
          <w:rFonts w:cs="Arial"/>
        </w:rPr>
        <w:br/>
        <w:t xml:space="preserve"/>
      </w:r>
      <w:r>
        <w:rPr>
          <w:rFonts w:cs="Arial"/>
        </w:rPr>
        <w:t xml:space="preserve"> </w:t>
      </w:r>
      <w:r>
        <w:rPr>
          <w:rFonts w:cs="Arial"/>
          <w:b/>
        </w:rPr>
        <w:t xml:space="preserve">Fleeing domestic violence -</w:t>
      </w:r>
      <w:r>
        <w:rPr>
          <w:rFonts w:cs="Arial"/>
        </w:rPr>
        <w:t xml:space="preserve"> The agency must have written verification from the participant that he/she is fleeing a domestic violence situation. If the participant is unable to prepare the verification, prepare a written statement about the participant’s previous living situation and have the participant sign the statement and date it.</w:t>
      </w:r>
    </w:p>
    <w:p>
      <w:pPr>
        <w:pStyle w:val="Heading2"/>
        <w:pageBreakBefore/>
        <w:widowControl w:val="false"/>
        <w:rPr>
          <w:rFonts w:ascii="Calibri" w:hAnsi="Calibri"/>
          <w:i w:val="false"/>
        </w:rPr>
        <w:sectPr>
          <w:pgSz w:w="12240" w:h="15840"/>
          <w:pgMar w:top="1440" w:right="1440" w:bottom="1440" w:left="1440" w:header="720" w:footer="720" w:gutter="0"/>
          <w:cols w:space="720"/>
          <w:docGrid w:linePitch="360"/>
        </w:sectPr>
      </w:pPr>
    </w:p>
    <w:p>
      <w:pPr>
        <w:keepNext/>
        <w:widowControl w:val="false"/>
        <w:spacing w:after="0" w:line="240" w:lineRule="auto"/>
        <w:jc w:val="center"/>
        <w:rPr>
          <w:rFonts w:cs="Arial"/>
        </w:rPr>
      </w:pPr>
    </w:p>
    <w:p>
      <w:pPr>
        <w:keepNext/>
        <w:widowControl w:val="false"/>
        <w:spacing w:after="0" w:line="240" w:lineRule="auto"/>
        <w:jc w:val="center"/>
        <w:rPr>
          <w:rFonts w:cs="Arial"/>
        </w:rPr>
      </w:pPr>
    </w:p>
    <w:p>
      <w:pPr>
        <w:keepNext/>
        <w:widowControl w:val="false"/>
        <w:spacing w:after="0" w:line="240" w:lineRule="auto"/>
        <w:rPr>
          <w:rFonts w:cs="Arial"/>
        </w:rPr>
      </w:pPr>
    </w:p>
    <w:p>
      <w:pPr>
        <w:pStyle w:val="Heading2"/>
        <w:pageBreakBefore/>
        <w:widowControl w:val="false"/>
      </w:pPr>
      <w:r>
        <w:rPr>
          <w:rFonts w:ascii="Calibri" w:hAnsi="Calibri"/>
          <w:i w:val="false"/>
        </w:rPr>
        <w:t>AP-75 Barriers to affordable housing -91.420, 91.220(j)</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Oakland County will continue to work to foster equitable and inclusive communities by committing to creating and preserving affordable housing and eliminate barriers to affordable housing and residential investment.</w:t>
      </w:r>
    </w:p>
    <w:p>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Michigan is a home rule state. Oakland County has no authority over public policies including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During PY 2020, Oakland County completed a new Analysis of Impediments to Fair Housing Choice (AI) effective July 1, 2021. The AI identifies barriers to affordable housing to be addressed in a Fair Housing Plan which will inform the County’s next Five-Year Consolidated Plan (PY 2021 - PY 2025).</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Although the County, cannot directly affect any of those barriers we continue to look for ways to collaborate, educate and convene local municipalities on understanding the affects of policies on the creation of affordable housing and the ability of individuals to continue to benefit from residential investment. We also commit to keeping HUD certified counselors on staff to educate residents on their rights and choices. We also commit to working with local social service agencies, our citizen advisory committee, board of commissioners and other advocacy organizations to look for new ways to address public policies that either directly or adversely create barriers to creating, obtaining or accessing affordable housing</w:t>
      </w:r>
    </w:p>
    <w:p>
      <w:pPr>
        <w:keepNext/>
        <w:widowControl w:val="false"/>
        <w:spacing w:after="0" w:line="240" w:lineRule="auto"/>
        <w:jc w:val="center"/>
        <w:rPr>
          <w:rFonts w:cs="Arial"/>
        </w:rPr>
      </w:pPr>
    </w:p>
    <w:p>
      <w:pPr>
        <w:pStyle w:val="Heading2"/>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pPr>
        <w:pStyle w:val="Heading2"/>
        <w:pageBreakBefore/>
        <w:widowControl w:val="false"/>
        <w:rPr>
          <w:rFonts w:ascii="Calibri" w:hAnsi="Calibri"/>
          <w:i w:val="false"/>
        </w:rPr>
      </w:pPr>
      <w:r>
        <w:rPr>
          <w:rFonts w:ascii="Calibri" w:hAnsi="Calibri"/>
          <w:i w:val="false"/>
        </w:rPr>
        <w:t>AP-85 Other Actions - 91.420, 91.220(k)</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Consolidated Plan regulations require an analysis of Census data to determine if there are any instances of housing problems being more severe for an ethnic or racial group than for the County. Two types of priority problems constitute worst case needs for federal housing assistance.</w:t>
      </w:r>
    </w:p>
    <w:p>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b/>
        </w:rPr>
        <w:t xml:space="preserve">Underserved Need</w:t>
      </w:r>
      <w:r>
        <w:rPr>
          <w:rFonts w:cs="Arial"/>
        </w:rPr>
        <w:t xml:space="preserve">: Severe rent burden</w:t>
      </w:r>
      <w:r>
        <w:rPr>
          <w:rFonts w:cs="Arial"/>
          <w:b/>
        </w:rPr>
        <w:t xml:space="preserve"> </w:t>
      </w:r>
    </w:p>
    <w:p>
      <w:pPr>
        <w:keepNext/>
        <w:widowControl w:val="false"/>
        <w:spacing w:beforeAutospacing="true" w:afterAutospacing="true"/>
        <w:rPr>
          <w:rFonts w:cs="Arial"/>
        </w:rPr>
      </w:pPr>
      <w:r>
        <w:rPr>
          <w:rFonts w:cs="Arial"/>
          <w:b/>
        </w:rPr>
        <w:t xml:space="preserve">Definition:</w:t>
      </w:r>
      <w:r>
        <w:rPr>
          <w:rFonts w:cs="Arial"/>
        </w:rPr>
        <w:t xml:space="preserve"> A renter paying more than one-half of his or her income for total tenant payment (rent and utilities).</w:t>
      </w:r>
    </w:p>
    <w:p>
      <w:pPr>
        <w:keepNext/>
        <w:widowControl w:val="false"/>
        <w:spacing w:beforeAutospacing="true" w:afterAutospacing="true"/>
        <w:rPr>
          <w:rFonts w:cs="Arial"/>
        </w:rPr>
      </w:pPr>
      <w:r>
        <w:rPr>
          <w:rFonts w:cs="Arial"/>
          <w:b/>
        </w:rPr>
        <w:t xml:space="preserve">Actions Planned to Address: </w:t>
      </w:r>
    </w:p>
    <w:p>
      <w:pPr>
        <w:keepNext/>
        <w:widowControl w:val="false"/>
        <w:numPr>
          <w:ilvl w:val="0"/>
          <w:numId w:val="3"/>
        </w:numPr>
        <w:spacing w:beforeAutospacing="true" w:afterAutospacing="true"/>
        <w:rPr>
          <w:rFonts w:cs="Arial"/>
        </w:rPr>
      </w:pPr>
      <w:r>
        <w:rPr>
          <w:rFonts w:cs="Arial"/>
        </w:rPr>
        <w:t xml:space="preserve">CDBG funded Subsistence Services</w:t>
      </w:r>
    </w:p>
    <w:p>
      <w:pPr>
        <w:keepNext/>
        <w:widowControl w:val="false"/>
        <w:numPr>
          <w:ilvl w:val="0"/>
          <w:numId w:val="3"/>
        </w:numPr>
        <w:spacing w:beforeAutospacing="true" w:afterAutospacing="true"/>
        <w:rPr>
          <w:rFonts w:cs="Arial"/>
        </w:rPr>
      </w:pPr>
      <w:r>
        <w:rPr>
          <w:rFonts w:cs="Arial"/>
        </w:rPr>
        <w:t xml:space="preserve">ESG funded Homeless Prevention and Rapid Re-housing services</w:t>
      </w:r>
    </w:p>
    <w:p>
      <w:pPr>
        <w:keepNext/>
        <w:widowControl w:val="false"/>
        <w:numPr>
          <w:ilvl w:val="0"/>
          <w:numId w:val="3"/>
        </w:numPr>
        <w:spacing w:beforeAutospacing="true" w:afterAutospacing="true"/>
        <w:rPr>
          <w:rFonts w:cs="Arial"/>
        </w:rPr>
      </w:pPr>
      <w:r>
        <w:rPr>
          <w:rFonts w:cs="Arial"/>
        </w:rPr>
        <w:t xml:space="preserve">No-cost housing counseling</w:t>
      </w:r>
    </w:p>
    <w:p>
      <w:pPr>
        <w:keepNext/>
        <w:widowControl w:val="false"/>
        <w:numPr>
          <w:ilvl w:val="0"/>
          <w:numId w:val="3"/>
        </w:numPr>
        <w:spacing w:beforeAutospacing="true" w:afterAutospacing="true"/>
        <w:rPr>
          <w:rFonts w:cs="Arial"/>
        </w:rPr>
      </w:pPr>
      <w:r>
        <w:rPr>
          <w:rFonts w:cs="Arial"/>
        </w:rPr>
        <w:t xml:space="preserve">Affordable housing referrals</w:t>
      </w:r>
    </w:p>
    <w:p>
      <w:pPr>
        <w:keepNext/>
        <w:widowControl w:val="false"/>
        <w:numPr>
          <w:ilvl w:val="0"/>
          <w:numId w:val="3"/>
        </w:numPr>
        <w:spacing w:beforeAutospacing="true" w:afterAutospacing="true"/>
        <w:rPr>
          <w:rFonts w:cs="Arial"/>
        </w:rPr>
      </w:pPr>
      <w:r>
        <w:rPr>
          <w:rFonts w:cs="Arial"/>
        </w:rPr>
        <w:t xml:space="preserve">Referrals to utility assistance providers </w:t>
      </w:r>
    </w:p>
    <w:p>
      <w:pPr>
        <w:keepNext/>
        <w:widowControl w:val="false"/>
        <w:spacing w:beforeAutospacing="true" w:afterAutospacing="true"/>
        <w:rPr>
          <w:rFonts w:cs="Arial"/>
        </w:rPr>
      </w:pPr>
      <w:r>
        <w:rPr>
          <w:rFonts w:cs="Arial"/>
          <w:b/>
        </w:rPr>
        <w:t xml:space="preserve">Underserved Need</w:t>
      </w:r>
      <w:r>
        <w:rPr>
          <w:rFonts w:cs="Arial"/>
        </w:rPr>
        <w:t xml:space="preserve">: Severely inadequate housing</w:t>
      </w:r>
    </w:p>
    <w:p>
      <w:pPr>
        <w:keepNext/>
        <w:widowControl w:val="false"/>
        <w:spacing w:beforeAutospacing="true" w:afterAutospacing="true"/>
        <w:rPr>
          <w:rFonts w:cs="Arial"/>
        </w:rPr>
      </w:pPr>
      <w:r>
        <w:rPr>
          <w:rFonts w:cs="Arial"/>
          <w:b/>
        </w:rPr>
        <w:t xml:space="preserve">Definition:</w:t>
      </w:r>
      <w:r>
        <w:rPr>
          <w:rFonts w:cs="Arial"/>
        </w:rPr>
        <w:t xml:space="preserve"> A unit is generally considered severely inadequate if any of the following criteria apply:</w:t>
      </w:r>
    </w:p>
    <w:p>
      <w:pPr>
        <w:keepNext/>
        <w:widowControl w:val="false"/>
        <w:numPr>
          <w:ilvl w:val="0"/>
          <w:numId w:val="3"/>
        </w:numPr>
        <w:spacing w:beforeAutospacing="true" w:afterAutospacing="true"/>
        <w:rPr>
          <w:rFonts w:cs="Arial"/>
        </w:rPr>
      </w:pPr>
      <w:r>
        <w:rPr>
          <w:rFonts w:cs="Arial"/>
        </w:rPr>
        <w:t xml:space="preserve">No hot and cold running water.</w:t>
      </w:r>
    </w:p>
    <w:p>
      <w:pPr>
        <w:keepNext/>
        <w:widowControl w:val="false"/>
        <w:numPr>
          <w:ilvl w:val="0"/>
          <w:numId w:val="3"/>
        </w:numPr>
        <w:spacing w:beforeAutospacing="true" w:afterAutospacing="true"/>
        <w:rPr>
          <w:rFonts w:cs="Arial"/>
        </w:rPr>
      </w:pPr>
      <w:r>
        <w:rPr>
          <w:rFonts w:cs="Arial"/>
        </w:rPr>
        <w:t xml:space="preserve">No bathtub or shower.</w:t>
      </w:r>
    </w:p>
    <w:p>
      <w:pPr>
        <w:keepNext/>
        <w:widowControl w:val="false"/>
        <w:numPr>
          <w:ilvl w:val="0"/>
          <w:numId w:val="3"/>
        </w:numPr>
        <w:spacing w:beforeAutospacing="true" w:afterAutospacing="true"/>
        <w:rPr>
          <w:rFonts w:cs="Arial"/>
        </w:rPr>
      </w:pPr>
      <w:r>
        <w:rPr>
          <w:rFonts w:cs="Arial"/>
        </w:rPr>
        <w:t xml:space="preserve">No flush toilet.</w:t>
      </w:r>
    </w:p>
    <w:p>
      <w:pPr>
        <w:keepNext/>
        <w:widowControl w:val="false"/>
        <w:numPr>
          <w:ilvl w:val="0"/>
          <w:numId w:val="3"/>
        </w:numPr>
        <w:spacing w:beforeAutospacing="true" w:afterAutospacing="true"/>
        <w:rPr>
          <w:rFonts w:cs="Arial"/>
        </w:rPr>
      </w:pPr>
      <w:r>
        <w:rPr>
          <w:rFonts w:cs="Arial"/>
        </w:rPr>
        <w:t xml:space="preserve">Shared plumbing facilities.</w:t>
      </w:r>
    </w:p>
    <w:p>
      <w:pPr>
        <w:keepNext/>
        <w:widowControl w:val="false"/>
        <w:numPr>
          <w:ilvl w:val="0"/>
          <w:numId w:val="3"/>
        </w:numPr>
        <w:spacing w:beforeAutospacing="true" w:afterAutospacing="true"/>
        <w:rPr>
          <w:rFonts w:cs="Arial"/>
        </w:rPr>
      </w:pPr>
      <w:r>
        <w:rPr>
          <w:rFonts w:cs="Arial"/>
        </w:rPr>
        <w:t xml:space="preserve">Cold for 24 hours or more and more than two breakdowns of heating equipment have occurred that lasted longer than 6 hours.</w:t>
      </w:r>
    </w:p>
    <w:p>
      <w:pPr>
        <w:keepNext/>
        <w:widowControl w:val="false"/>
        <w:numPr>
          <w:ilvl w:val="0"/>
          <w:numId w:val="3"/>
        </w:numPr>
        <w:spacing w:beforeAutospacing="true" w:afterAutospacing="true"/>
        <w:rPr>
          <w:rFonts w:cs="Arial"/>
        </w:rPr>
      </w:pPr>
      <w:r>
        <w:rPr>
          <w:rFonts w:cs="Arial"/>
        </w:rPr>
        <w:t xml:space="preserve">Electricity not used.</w:t>
      </w:r>
    </w:p>
    <w:p>
      <w:pPr>
        <w:keepNext/>
        <w:widowControl w:val="false"/>
        <w:numPr>
          <w:ilvl w:val="0"/>
          <w:numId w:val="3"/>
        </w:numPr>
        <w:spacing w:beforeAutospacing="true" w:afterAutospacing="true"/>
        <w:rPr>
          <w:rFonts w:cs="Arial"/>
        </w:rPr>
      </w:pPr>
      <w:r>
        <w:rPr>
          <w:rFonts w:cs="Arial"/>
        </w:rPr>
        <w:t xml:space="preserve">Exposed wiring, not every room has working electrical plugs, and fuses have blown more than twice.</w:t>
      </w:r>
    </w:p>
    <w:p>
      <w:pPr>
        <w:keepNext/>
        <w:widowControl w:val="false"/>
        <w:spacing w:beforeAutospacing="true" w:afterAutospacing="true"/>
        <w:rPr>
          <w:rFonts w:cs="Arial"/>
        </w:rPr>
      </w:pPr>
      <w:r>
        <w:rPr>
          <w:rFonts w:cs="Arial"/>
          <w:b/>
        </w:rPr>
        <w:t xml:space="preserve">Actions Planned to Address: </w:t>
      </w:r>
    </w:p>
    <w:p>
      <w:pPr>
        <w:keepNext/>
        <w:widowControl w:val="false"/>
        <w:numPr>
          <w:ilvl w:val="0"/>
          <w:numId w:val="3"/>
        </w:numPr>
        <w:spacing w:beforeAutospacing="true" w:afterAutospacing="true"/>
        <w:rPr>
          <w:rFonts w:cs="Arial"/>
        </w:rPr>
      </w:pPr>
      <w:r>
        <w:rPr>
          <w:rFonts w:cs="Arial"/>
        </w:rPr>
        <w:t xml:space="preserve">CDBG/HOME funded Home Improvement Program</w:t>
      </w:r>
    </w:p>
    <w:p>
      <w:pPr>
        <w:keepNext/>
        <w:widowControl w:val="false"/>
        <w:numPr>
          <w:ilvl w:val="0"/>
          <w:numId w:val="3"/>
        </w:numPr>
        <w:spacing w:beforeAutospacing="true" w:afterAutospacing="true"/>
        <w:rPr>
          <w:rFonts w:cs="Arial"/>
        </w:rPr>
      </w:pPr>
      <w:r>
        <w:rPr>
          <w:rFonts w:cs="Arial"/>
        </w:rPr>
        <w:t xml:space="preserve">CDBG funded Minor Home Repair</w:t>
      </w:r>
    </w:p>
    <w:p>
      <w:pPr>
        <w:keepNext/>
        <w:widowControl w:val="false"/>
        <w:numPr>
          <w:ilvl w:val="0"/>
          <w:numId w:val="3"/>
        </w:numPr>
        <w:spacing w:beforeAutospacing="true" w:afterAutospacing="true"/>
        <w:rPr>
          <w:rFonts w:cs="Arial"/>
        </w:rPr>
      </w:pPr>
      <w:r>
        <w:rPr>
          <w:rFonts w:cs="Arial"/>
        </w:rPr>
        <w:t xml:space="preserve">CDBG funded Mobile Home Repair</w:t>
      </w:r>
    </w:p>
    <w:p>
      <w:pPr>
        <w:keepNext/>
        <w:widowControl w:val="false"/>
        <w:numPr>
          <w:ilvl w:val="0"/>
          <w:numId w:val="3"/>
        </w:numPr>
        <w:spacing w:beforeAutospacing="true" w:afterAutospacing="true"/>
        <w:rPr>
          <w:rFonts w:cs="Arial"/>
        </w:rPr>
      </w:pPr>
      <w:r>
        <w:rPr>
          <w:rFonts w:cs="Arial"/>
        </w:rPr>
        <w:t xml:space="preserve">Referrals for weatherization assistance</w:t>
      </w:r>
    </w:p>
    <w:p>
      <w:pPr>
        <w:keepNext/>
        <w:widowControl w:val="false"/>
        <w:numPr>
          <w:ilvl w:val="0"/>
          <w:numId w:val="3"/>
        </w:numPr>
        <w:spacing w:beforeAutospacing="true" w:afterAutospacing="true"/>
        <w:rPr>
          <w:rFonts w:cs="Arial"/>
        </w:rPr>
      </w:pPr>
      <w:r>
        <w:rPr>
          <w:rFonts w:cs="Arial"/>
        </w:rPr>
        <w:t xml:space="preserve">No-cost housing counseling</w:t>
      </w:r>
    </w:p>
    <w:p>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Oakland County uses federal, state and local funds to foster and maintain affordable housing. CDBG and HOME funds support the County’s Home Improvement Program (HIP) which meets the critical need of maintaining homeownership with 0% interest no payment loans. The HIP ensures that homes are maintained to meet minimum standards. Due to high real estate costs, many elderly, low income and/or disabled homeowners may be unable to purchase another home if forced to leave due to deterioration. The HIP and CDBG funded minor home and mobile home repair programs as well as efforts by organizations such as Rebuilding Together Oakland County help maintain housing by creating decent, safe and sanitary housing, which allows homeowners to afford to remain in their homes.</w:t>
      </w:r>
    </w:p>
    <w:p>
      <w:pPr>
        <w:keepNext/>
        <w:widowControl w:val="false"/>
        <w:spacing w:beforeAutospacing="true" w:afterAutospacing="true"/>
        <w:rPr>
          <w:rFonts w:cs="Arial"/>
        </w:rPr>
      </w:pPr>
      <w:r>
        <w:rPr>
          <w:rFonts w:cs="Arial"/>
        </w:rPr>
        <w:t xml:space="preserve">Oakland County issued a $1.5 million conditional HOME loan commitment to Carriage Place Limited Dividend Housing Association Limited Partnership in November 2019 and amended July 2, 2020 to renovate 234 units of affordable rental housing at Carriage Circle in Pontiac. This U.S. Department of Housing and Urban Development Rental Assistance Demonstration (RAD) Project allows the Pontiac Housing Commission to leverage public and private debt and equity to reinvest in the property. Oakland County HOME funds provide gap financing to leverage funds through the Michigan State Housing Development Authority (MSHDA) 4% LIHTC program. The project is pending final approval from MSHDA.</w:t>
      </w:r>
    </w:p>
    <w:p>
      <w:pPr>
        <w:keepNext/>
        <w:widowControl w:val="false"/>
        <w:spacing w:beforeAutospacing="true" w:afterAutospacing="true"/>
        <w:rPr>
          <w:rFonts w:cs="Arial"/>
        </w:rPr>
      </w:pPr>
      <w:r>
        <w:rPr>
          <w:rFonts w:cs="Arial"/>
        </w:rPr>
        <w:t xml:space="preserve">The Division continues to work towards implementation of a gap financing program to fund development or preservation of rental multiunit affordable housing opportunities. Oakland County HOME funds will provide this gap financing and will work to sync with other funding opportunities such as the MSHDA LIHTC program.</w:t>
      </w:r>
    </w:p>
    <w:p>
      <w:pPr>
        <w:keepNext/>
        <w:widowControl w:val="false"/>
        <w:spacing w:beforeAutospacing="true" w:afterAutospacing="true"/>
        <w:rPr>
          <w:rFonts w:cs="Arial"/>
        </w:rPr>
      </w:pPr>
      <w:r>
        <w:rPr>
          <w:rFonts w:cs="Arial"/>
        </w:rPr>
        <w:t xml:space="preserve">CHDOs will have the opportunity to participate in either a rental program or a homebuyer program. The rental program will contract with qualified CHDOs to construct or rehabilitate affordable single family (1-4 units) and/or multifamily rental housing in HOME Consortium Communities. This investment targets renters at or below 60% of area median income. CHDOs will be able to increase the supply of rental units by Acquisition/Rehabilitation or New Construction. The rehabilitation may include lead remediation, energy efficiency improvements, and energy Star appliances. The improvements help maintain the home for a minimum of 5 years. New construction will meet energy efficient guidelines.</w:t>
      </w:r>
    </w:p>
    <w:p>
      <w:pPr>
        <w:keepNext/>
        <w:widowControl w:val="false"/>
        <w:spacing w:beforeAutospacing="true" w:afterAutospacing="true"/>
        <w:rPr>
          <w:rFonts w:cs="Arial"/>
        </w:rPr>
      </w:pPr>
      <w:r>
        <w:rPr>
          <w:rFonts w:cs="Arial"/>
        </w:rPr>
        <w:t xml:space="preserve">The homebuyer program will fund either new construction or acquisition rehab of existing homes. New construction homes will meet energy efficient guidelines. Rehabilitation of existing homes may include lead remediation, energy efficiency improvements and Energy Star appliances. The improvements help maintain the home for a minimum of 5 years. These homes will be sold to low income households with a homebuyer subsidy ($1,000-$25,000) to help ensure the home is affordable. This subsidy is a zero percent deferred loan which is due and payable when the unit no longer serves as the buyer’s principle residence.</w:t>
      </w:r>
    </w:p>
    <w:p>
      <w:pPr>
        <w:keepNext/>
        <w:widowControl w:val="false"/>
        <w:spacing w:beforeAutospacing="true" w:afterAutospacing="true"/>
        <w:rPr>
          <w:rFonts w:cs="Arial"/>
        </w:rPr>
      </w:pPr>
      <w:r>
        <w:rPr>
          <w:rFonts w:cs="Arial"/>
        </w:rPr>
        <w:t xml:space="preserve">The Homeless Prevention and Rapid-Rehousing component of the Emergency Solutions Grant provides temporary assistance for extremely low-income residents to receive up to six months of rental assistance. During the six-month period recipients receive extensive case management and linkage to mainstream benefits to prepare them for future housing opportunities.</w:t>
      </w:r>
    </w:p>
    <w:p>
      <w:pPr>
        <w:keepNext/>
        <w:widowControl w:val="false"/>
        <w:spacing w:beforeAutospacing="true" w:afterAutospacing="true"/>
        <w:rPr>
          <w:rFonts w:cs="Arial"/>
        </w:rPr>
      </w:pPr>
      <w:r>
        <w:rPr>
          <w:rFonts w:cs="Arial"/>
        </w:rPr>
        <w:t xml:space="preserve">The Division uses HUD, MSHDA and CDBG funds to support a housing counseling unit with three HUD certified housing counselors. These counselors provide individualized counseling and referral services to those seeking to maintain or access affordable housing opportunities.</w:t>
      </w:r>
    </w:p>
    <w:p>
      <w:pPr>
        <w:keepNext/>
        <w:widowControl w:val="false"/>
        <w:spacing w:beforeAutospacing="true" w:afterAutospacing="true"/>
        <w:rPr>
          <w:rFonts w:cs="Arial"/>
        </w:rPr>
      </w:pPr>
      <w:r>
        <w:rPr>
          <w:rFonts w:cs="Arial"/>
        </w:rPr>
        <w:t xml:space="preserve">Division staff serve as members of the Continuum of Care which seeks to address affordable housing needs through advocacy and educational efforts to public officials.</w:t>
      </w:r>
    </w:p>
    <w:p>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The Division continues to address risks of Lead Based Paint (LBP) through implementation of the Lead-Safe Housing  Regulation  and  the  State  of  Michigan  Lead Abatement Act. The Home Improvement Program includes a risk assessment on rehabilitation work which disturbs painted surfaces pursuant to 24 CFR Part 35. Division staff is certified LBP Inspectors/Risk assessors with the State of Michigan. LBP hazards are addressed using lead abatement work practices. LBP clearances are performed on HIP projects. Contractors performing the work are licensed LBP abatement contractors with the State. LBP abatement has been an integral component of the HIP since 2000. The Division will continue to abate LBP hazards in single-family owner-occupied dwellings which qualify with program guidelines in participating communities. The Division also hosts LBP training for qualified contractors on the HIP approved bidder list. The County purchased new XRF machines to perform lead inspections/risk assessments more efficiently.</w:t>
      </w:r>
    </w:p>
    <w:p>
      <w:pPr>
        <w:keepNext/>
        <w:widowControl w:val="false"/>
        <w:spacing w:beforeAutospacing="true" w:afterAutospacing="true"/>
        <w:rPr>
          <w:rFonts w:cs="Arial"/>
        </w:rPr>
      </w:pPr>
      <w:r>
        <w:rPr>
          <w:rFonts w:cs="Arial"/>
        </w:rPr>
        <w:t xml:space="preserve">Housing units funded with federal funds must meet LBP regulations. The County operates a housing rehabilitation program for single-family dwellings (1-4 units). The program has specific procedures which outline the steps to educate, test, contain and/or remediate LBP. Rehabilitation projects in which the structure was constructed before 1978 fall under the Federal LBP regulations. A lead hazard information pamphlet is provided to all prospective HIP participants. If the structure was built before 1978 an LBP risk assessment is conducted. An LBP risk assessment is provided to the homeowner along with the specification. The findings are incorporated into the specifications for the rehabilitation work. Contractors participating in the HIP doing work involving LBP must present documentation certifying them as an LBP certified contractor. An occupancy plan is developed to ensure occupants will not be exposed during site work. Results of clearance tests are provided to the homeowner. These actions educate the public of the danger of LBP and provide an LBP free living environment for occupants upon completion of site work.</w:t>
      </w:r>
    </w:p>
    <w:p>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The County's Anti-Poverty Strategy is to help low-income persons stay in their homes, support low- income persons in crisis and job creation. The HOME program provides funds for non-profits, local governments and developers to create affordable rental and homeownership opportunities. CDBG assists those in poverty with crisis, emergency, housing, housing counseling services and job creation.</w:t>
      </w:r>
    </w:p>
    <w:p>
      <w:pPr>
        <w:keepNext/>
        <w:widowControl w:val="false"/>
        <w:spacing w:beforeAutospacing="true" w:afterAutospacing="true"/>
        <w:rPr>
          <w:rFonts w:cs="Arial"/>
          <w:szCs w:val="26"/>
        </w:rPr>
      </w:pPr>
      <w:r>
        <w:rPr>
          <w:rFonts w:cs="Arial"/>
          <w:b/>
        </w:rPr>
        <w:t xml:space="preserve">Crisis Services -</w:t>
      </w:r>
      <w:r>
        <w:rPr>
          <w:rFonts w:cs="Arial"/>
        </w:rPr>
        <w:t xml:space="preserve"> The COVID-19 pandemic continues to impact communities with many shifting needs.</w:t>
      </w:r>
      <w:r>
        <w:rPr>
          <w:rFonts w:cs="Arial"/>
          <w:b/>
        </w:rPr>
        <w:t xml:space="preserve"> </w:t>
      </w:r>
      <w:r>
        <w:rPr>
          <w:rFonts w:cs="Arial"/>
        </w:rPr>
        <w:t xml:space="preserve">Many communities have taken the lead in providing emergency food and clothing for families in crisis. Local communities also fund minor home repair programs and home chore programs for persons unable to perform tasks such as cleaning and shopping due to age and/or physical disability or provide transportation services for senior and disabled residents. The County will continue to encourage local communities to use CDBG funds for anti-poverty projects and coordinate the availability of other resources and programs.</w:t>
      </w:r>
    </w:p>
    <w:p>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The institutional structure, through which this AAP will be implemented, includes agencies of County government, local communities, non-profit organizations and private industry. Division staff conducts CDBG, HOME and ESG workshops to keep partners current on new developments and policies. These workshops provide subrecipients, CHDOS and developers with opportunities to ask questions, share ideas and provide feedback. Additional technical consultations between Division staff and local agencies regularly occur as necessary to provide technical assistance.  Pre-bid and pre-construction meetings are held prior to CDBG and HOME assisted projects providing education and technical assistance to ensure that affirmative marketing, procurement, Section 3, U.S. Department of Labor and Davis-Bacon Act requirements are met. The Division will continue efforts to update marketing materials to educate and provide awareness. Technical assistance provided by the Division focuses on defining program eligibility requirements; establishing and undertaking correct program processes; measuring performance; furthering collaboration between partners and building partner capacity.</w:t>
      </w:r>
    </w:p>
    <w:p>
      <w:pPr>
        <w:keepNext/>
        <w:widowControl w:val="false"/>
        <w:spacing w:beforeAutospacing="true" w:afterAutospacing="true"/>
        <w:rPr>
          <w:rFonts w:cs="Arial"/>
        </w:rPr>
      </w:pPr>
      <w:r>
        <w:rPr>
          <w:rFonts w:cs="Arial"/>
          <w:b/>
        </w:rPr>
        <w:t xml:space="preserve">Home Improvement Program (HIP) – </w:t>
      </w:r>
      <w:r>
        <w:rPr>
          <w:rFonts w:cs="Arial"/>
        </w:rPr>
        <w:t xml:space="preserve">Division staff works with qualified contractors to administer the HIP and provide contractors with technical assistance to build their capacity.</w:t>
      </w:r>
    </w:p>
    <w:p>
      <w:pPr>
        <w:keepNext/>
        <w:widowControl w:val="false"/>
        <w:spacing w:beforeAutospacing="true" w:afterAutospacing="true"/>
        <w:rPr>
          <w:rFonts w:cs="Arial"/>
        </w:rPr>
      </w:pPr>
      <w:r>
        <w:rPr>
          <w:rFonts w:cs="Arial"/>
          <w:b/>
        </w:rPr>
        <w:t xml:space="preserve">Community Housing Development Organizations (CHDO) – </w:t>
      </w:r>
      <w:r>
        <w:rPr>
          <w:rFonts w:cs="Arial"/>
        </w:rPr>
        <w:t xml:space="preserve">The Division works with qualified CHDOs on affordable housing development projects and recertifies CHDOs before the application process.  Currently, the Division has three qualified CHDOs: Habitat for Humanity, Community Housing Network and Venture, Inc. with another CHDO in the process of being certified.</w:t>
      </w:r>
    </w:p>
    <w:p>
      <w:pPr>
        <w:keepNext/>
        <w:widowControl w:val="false"/>
        <w:spacing w:beforeAutospacing="true" w:afterAutospacing="true"/>
        <w:rPr>
          <w:rFonts w:cs="Arial"/>
        </w:rPr>
      </w:pPr>
      <w:r>
        <w:rPr>
          <w:rFonts w:cs="Arial"/>
          <w:b/>
        </w:rPr>
        <w:t xml:space="preserve">Rental Development/Preservation Gap Financing</w:t>
      </w:r>
      <w:r>
        <w:rPr>
          <w:rFonts w:cs="Arial"/>
        </w:rPr>
        <w:t xml:space="preserve"> – The Division is implementing a Notice of Funding Availability (NOFA) process to evaluate developer proposals for gap financing of multi-unit rental development &amp; preservation projects.</w:t>
      </w:r>
    </w:p>
    <w:p>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During 2021, Division staff will continue to provide information to local units of government and assist them in identifying and coordinating funding opportunities, with a focus on increasing actions aimed at expanding community development improvements and services to LMI persons and limited clientele populations. The Division will continue to coordinate the provision of CPD Grant resources in efforts to further affordable housing development and homebuyer assistance, as well as continuing financial assistance to individuals and families who are either homeless or in immediate risk of losing their housing. Oakland County will continue to work with local financial lending institutions, and the MSHDA in partnership efforts to further affordable housing funds and initiatives. Division staff will provide information from HUD and MSHDA to those public agencies, individuals and/or non- and for-profit developers who may be interested in utilizing their entity's programs for producing affordable housing projects. Staff will continue to review and approve appropriate requests for Certificates of Consistency with the Con Plan to ensure that proposed Programs meet goals and objectives.</w:t>
      </w:r>
    </w:p>
    <w:p>
      <w:pPr>
        <w:keepNext/>
        <w:widowControl w:val="false"/>
        <w:spacing w:beforeAutospacing="true" w:afterAutospacing="true"/>
        <w:rPr>
          <w:rFonts w:cs="Arial"/>
          <w:szCs w:val="26"/>
        </w:rPr>
      </w:pPr>
      <w:r>
        <w:rPr>
          <w:rFonts w:cs="Arial"/>
        </w:rPr>
        <w:t xml:space="preserve">Division staff will continue to work with various agency staff to provide referrals to their programs. In addition, staff will continue to provide technical assistance and information about fair housing and the advancement of housing related projects for populations in need of affordable and barrier-free housing to local governments, non-profits, CHDOs and for-profit developers. The Division coordinates with service providers by facilitating and participating in community- wide committees and engaging local experts to recommend and provide programs for target populations. Primarily, this is done through the collaborative relationship with the Alliance. Division staff participates in and provides support to work groups of the Continuum of Care, assists the Continuum of Care with its responsibilities for monitoring, evaluating and applying for funds through the HUD Continuum of Care and ESG funding processes. Efforts to support partners and develop new affiliations to assist serving low-income populations will continue. Initiatives will focus on disseminating educational information through workshops, partner meetings and traditional and innovative media advertising to better inform the public about programs. Technical assistance will focus on improvements to application processes, refining methods of determining eligibility; ensuring correct processes are performed; monitoring; measuring performance; coordinating and enhancing collaboration between multiple partners, as well as assisting partners to build their capacity.</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rFonts w:cs="Arial"/>
        </w:rPr>
      </w:pPr>
      <w:r>
        <w:rPr>
          <w:rFonts w:cs="Arial"/>
        </w:rPr>
        <w:t xml:space="preserve">The Division will continue to increase internal capacity to stand up the rental multi-unit gap financing program as well as have a finer focus on the health and safety home improvements for owner occupied rehabilitation.</w:t>
      </w:r>
    </w:p>
    <w:p>
      <w:pPr>
        <w:keepNext/>
        <w:widowControl w:val="false"/>
        <w:spacing w:line="204" w:lineRule="auto"/>
        <w:rPr>
          <w:rFonts w:cs="Arial"/>
        </w:rPr>
      </w:pPr>
    </w:p>
    <w:p>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pPr>
        <w:rPr>
          <w:b/>
          <w:sz w:val="28"/>
          <w:szCs w:val="28"/>
        </w:rPr>
      </w:pPr>
      <w:r>
        <w:rPr>
          <w:b/>
          <w:sz w:val="28"/>
          <w:szCs w:val="28"/>
        </w:rPr>
        <w:t>AP-90 Program Specific Requirements - 91.420, 91.220(l)(1,2,4)</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CDBG Revoling Loan Funds are used to support Home Improvement Program projects in accordance with CDBG &amp; HUD guidelines.</w:t>
      </w:r>
    </w:p>
    <w:p>
      <w:pPr>
        <w:keepNext/>
        <w:widowControl w:val="false"/>
        <w:spacing w:after="0" w:line="240" w:lineRule="auto"/>
        <w:jc w:val="center"/>
        <w:rPr>
          <w:rFonts w:cs="Arial"/>
          <w:b/>
          <w:sz w:val="24"/>
          <w:szCs w:val="24"/>
        </w:rPr>
      </w:pPr>
      <w:r>
        <w:rPr>
          <w:rFonts w:cs="Arial"/>
          <w:b/>
          <w:sz w:val="24"/>
          <w:szCs w:val="24"/>
        </w:rPr>
        <w:t>Community Development Block Grant Program (CDBG)</w:t>
      </w:r>
      <w:r>
        <w:rPr>
          <w:i/>
        </w:rPr>
        <w:t xml:space="preserve"> </w:t>
      </w:r>
      <w:r>
        <w:rPr>
          <w:rFonts w:cs="Arial"/>
          <w:b/>
          <w:i/>
          <w:sz w:val="24"/>
          <w:szCs w:val="24"/>
        </w:rPr>
      </w:r>
    </w:p>
    <w:p>
      <w:pPr>
        <w:keepNext/>
        <w:widowControl w:val="false"/>
        <w:spacing w:after="0" w:line="240" w:lineRule="auto"/>
        <w:jc w:val="center"/>
        <w:rPr>
          <w:rFonts w:cs="Arial"/>
          <w:b/>
          <w:sz w:val="24"/>
          <w:szCs w:val="24"/>
        </w:rPr>
      </w:pPr>
      <w:r>
        <w:rPr>
          <w:rFonts w:cs="Arial"/>
          <w:b/>
          <w:sz w:val="24"/>
          <w:szCs w:val="24"/>
        </w:rPr>
        <w:t>Reference 24 CFR 91.220(l)(1)</w:t>
      </w:r>
      <w:r>
        <w:rPr>
          <w:i/>
        </w:rPr>
        <w:t xml:space="preserve"> </w:t>
      </w:r>
      <w:r>
        <w:rPr>
          <w:rFonts w:cs="Arial"/>
          <w:b/>
          <w:i/>
          <w:sz w:val="24"/>
          <w:szCs w:val="24"/>
        </w:rPr>
      </w:r>
    </w:p>
    <w:p>
      <w:pPr>
        <w:keepNext/>
        <w:widowControl w:val="false"/>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r>
        <w:rPr>
          <w:rFonts w:cs="Arial"/>
          <w:i/>
        </w:rPr>
      </w:r>
    </w:p>
    <w:p>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center"/>
          </w:tcPr>
          <w:p>
            <w:pPr>
              <w:spacing w:beforeAutospacing="true" w:afterAutospacing="true"/>
              <w:jc w:val="left"/>
            </w:pPr>
            <w:r>
              <w:rPr>
                <w:rFonts w:ascii="Calibri" w:hAnsi="Calibri"/>
                <w:color w:val="000000"/>
                <w:sz w:val="22"/>
              </w:rPr>
              <w:t xml:space="preserve">1. The total amount of program income that will have been received before the start of the next program year and that has not yet been reprogrammed</w:t>
            </w:r>
          </w:p>
        </w:tc>
        <w:tc>
          <w:tcPr>
            <w:vAlign w:val="bottom"/>
          </w:tcPr>
          <w:p>
            <w:pPr>
              <w:spacing w:beforeAutospacing="true" w:afterAutospacing="true"/>
              <w:jc w:val="right"/>
            </w:pPr>
            <w:r>
              <w:rPr>
                <w:rFonts w:ascii="Calibri" w:hAnsi="Calibri"/>
                <w:color w:val="000000"/>
                <w:sz w:val="22"/>
              </w:rPr>
              <w:t xml:space="preserve">1,001,000</w:t>
            </w:r>
          </w:p>
        </w:tc>
      </w:tr>
      <w:tr>
        <w:trPr>
          <w:cantSplit w:val="true"/>
        </w:trPr>
        <w:tc>
          <w:tcPr>
            <w:vAlign w:val="center"/>
          </w:tcPr>
          <w:p>
            <w:pPr>
              <w:spacing w:beforeAutospacing="true" w:afterAutospacing="true"/>
              <w:jc w:val="left"/>
            </w:pPr>
            <w:r>
              <w:rPr>
                <w:rFonts w:ascii="Calibri" w:hAnsi="Calibri"/>
                <w:color w:val="000000"/>
                <w:sz w:val="22"/>
              </w:rPr>
              <w:t xml:space="preserve">2. The amount of proceeds from section 108 loan guarantees that will be used during the year to address the priority needs and specific objectives identified in the grantee's strategic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3. The amount of surplus funds from urban renewal settlements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4. The amount of any grant funds returned to the line of credit for which the planned use has not been included in a prior statement or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5. The amount of income from float-funded activities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b/>
                <w:color w:val="000000"/>
                <w:sz w:val="22"/>
              </w:rPr>
              <w:t xml:space="preserve">Total Program Income:</w:t>
            </w:r>
          </w:p>
        </w:tc>
        <w:tc>
          <w:tcPr>
            <w:vAlign w:val="center"/>
          </w:tcPr>
          <w:p>
            <w:pPr>
              <w:spacing w:beforeAutospacing="true" w:afterAutospacing="true"/>
              <w:jc w:val="right"/>
            </w:pPr>
            <w:r>
              <w:rPr>
                <w:rFonts w:ascii="Calibri" w:hAnsi="Calibri"/>
                <w:b/>
                <w:color w:val="000000"/>
                <w:sz w:val="22"/>
              </w:rPr>
              <w:t xml:space="preserve">1,001,000</w:t>
            </w:r>
          </w:p>
        </w:tc>
      </w:tr>
    </w:tbl>
    <w:p>
      <w:pPr>
        <w:keepNext/>
        <w:widowControl w:val="false"/>
        <w:spacing w:after="0" w:line="240" w:lineRule="auto"/>
        <w:rPr>
          <w:rFonts w:cs="Arial"/>
        </w:rPr>
      </w:pPr>
    </w:p>
    <w:p>
      <w:pPr>
        <w:keepNext/>
        <w:widowControl w:val="false"/>
        <w:spacing w:after="0" w:line="240" w:lineRule="auto"/>
        <w:jc w:val="center"/>
        <w:rPr>
          <w:rFonts w:cs="Arial"/>
          <w:b/>
          <w:sz w:val="24"/>
          <w:szCs w:val="24"/>
        </w:rPr>
      </w:pPr>
      <w:r>
        <w:rPr>
          <w:rFonts w:cs="Arial"/>
          <w:b/>
          <w:sz w:val="24"/>
          <w:szCs w:val="24"/>
        </w:rPr>
        <w:t>Other CDBG Requirements</w:t>
      </w:r>
      <w:r>
        <w:rPr>
          <w:i/>
        </w:rPr>
        <w:t xml:space="preserve"> </w:t>
      </w:r>
      <w:r>
        <w:rPr>
          <w:rFonts w:cs="Arial"/>
          <w:b/>
          <w:i/>
          <w:sz w:val="24"/>
          <w:szCs w:val="24"/>
        </w:rPr>
      </w:r>
    </w:p>
    <w:tbl>
      <w:tblPr>
        <w:tblW w:w="5000" w:type="pct"/>
        <w:tblInd w:w="115" w:type="dxa"/>
        <w:tblLook w:firstRow="1" w:lastRow="1" w:firstColumn="1" w:lastColumn="1" w:noHBand="0" w:noVBand="0" w:val="01E0"/>
      </w:tblPr>
      <w:tblGrid>
        <w:gridCol w:w="7916"/>
        <w:gridCol w:w="1660"/>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top"/>
          </w:tcPr>
          <w:p>
            <w:pPr>
              <w:spacing w:beforeAutospacing="true" w:afterAutospacing="true"/>
              <w:jc w:val="left"/>
            </w:pPr>
            <w:r>
              <w:rPr>
                <w:rFonts w:ascii="Calibri" w:hAnsi="Calibri"/>
                <w:color w:val="000000"/>
                <w:sz w:val="22"/>
              </w:rPr>
              <w:t xml:space="preserve">1. The amount of urgent need activities</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r>
        <w:tc>
          <w:tcPr>
            <w:tcW w:w="7923" w:type="dxa"/>
          </w:tcPr>
          <w:p>
            <w:pPr>
              <w:keepNext/>
              <w:widowControl w:val="false"/>
              <w:spacing w:after="0" w:line="240" w:lineRule="auto"/>
              <w:rPr>
                <w:rFonts w:cs="Arial"/>
              </w:rPr>
            </w:pPr>
            <w:r>
              <w:rPr>
                <w:rFonts w:cs="Arial"/>
              </w:rPr>
            </w:r>
          </w:p>
        </w:tc>
        <w:tc>
          <w:tcPr>
            <w:tcW w:w="1665" w:type="dxa"/>
          </w:tcPr>
          <w:p>
            <w:pPr>
              <w:keepNext/>
              <w:widowControl w:val="false"/>
              <w:spacing w:after="0" w:line="240" w:lineRule="auto"/>
              <w:rPr>
                <w:rFonts w:cs="Arial"/>
              </w:rPr>
            </w:pPr>
          </w:p>
        </w:tc>
      </w:tr>
      <w:tr>
        <w:trPr>
          <w:cantSplit w:val="true"/>
        </w:trPr>
        <w:tc>
          <w:tcPr>
            <w:vAlign w:val="top"/>
          </w:tcPr>
          <w:p>
            <w:pPr>
              <w:spacing w:beforeAutospacing="true" w:afterAutospacing="true"/>
              <w:jc w:val="left"/>
            </w:pPr>
            <w:r>
              <w:rPr>
                <w:rFonts w:ascii="Calibri" w:hAnsi="Calibri"/>
                <w:color w:val="000000"/>
                <w:sz w:val="22"/>
              </w:rPr>
              <w:t xml:space="preserve">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vAlign w:val="bottom"/>
          </w:tcPr>
          <w:p>
            <w:pPr>
              <w:spacing w:beforeAutospacing="true" w:afterAutospacing="true"/>
              <w:jc w:val="right"/>
            </w:pPr>
            <w:r>
              <w:rPr>
                <w:rFonts w:ascii="Calibri" w:hAnsi="Calibri"/>
                <w:color w:val="000000"/>
                <w:sz w:val="22"/>
              </w:rPr>
              <w:t xml:space="preserve">70.00%</w:t>
            </w:r>
          </w:p>
        </w:tc>
      </w:tr>
    </w:tbl>
    <w:p>
      <w:pPr>
        <w:spacing w:after="0" w:line="240" w:lineRule="auto"/>
        <w:rPr>
          <w:rFonts w:cs="Arial"/>
        </w:rPr>
      </w:pPr>
    </w:p>
    <w:p>
      <w:pPr>
        <w:spacing w:after="0" w:line="240" w:lineRule="auto"/>
        <w:rPr>
          <w:rFonts w:cs="Arial"/>
        </w:rPr>
      </w:pPr>
    </w:p>
    <w:p>
      <w:pPr>
        <w:spacing w:after="0" w:line="240" w:lineRule="auto"/>
        <w:rPr>
          <w:rFonts w:cs="Arial"/>
        </w:rPr>
      </w:pPr>
    </w:p>
    <w:p>
      <w:pPr>
        <w:keepNext/>
        <w:spacing w:after="0" w:line="240" w:lineRule="auto"/>
        <w:jc w:val="center"/>
        <w:rPr>
          <w:rFonts w:cs="Arial"/>
          <w:b/>
          <w:sz w:val="24"/>
          <w:szCs w:val="24"/>
        </w:rPr>
      </w:pPr>
      <w:r>
        <w:rPr>
          <w:rFonts w:cs="Arial"/>
          <w:b/>
          <w:sz w:val="24"/>
          <w:szCs w:val="24"/>
        </w:rPr>
        <w:t>HOME Investment Partnership Program (HOME)</w:t>
      </w:r>
      <w:r>
        <w:rPr>
          <w:i/>
        </w:rPr>
        <w:t xml:space="preserve"> </w:t>
      </w:r>
      <w:r>
        <w:rPr>
          <w:rFonts w:cs="Arial"/>
          <w:b/>
          <w:i/>
          <w:sz w:val="24"/>
          <w:szCs w:val="24"/>
        </w:rPr>
      </w:r>
    </w:p>
    <w:p>
      <w:pPr>
        <w:keepNext/>
        <w:spacing w:after="0" w:line="240" w:lineRule="auto"/>
        <w:jc w:val="center"/>
        <w:rPr>
          <w:rFonts w:cs="Arial"/>
          <w:b/>
          <w:sz w:val="24"/>
          <w:szCs w:val="24"/>
        </w:rPr>
      </w:pPr>
      <w:r>
        <w:rPr>
          <w:rFonts w:cs="Arial"/>
          <w:b/>
          <w:sz w:val="24"/>
          <w:szCs w:val="24"/>
        </w:rPr>
        <w:t>Reference 24 CFR 91.220(l)(2)</w:t>
      </w:r>
      <w:r>
        <w:rPr>
          <w:i/>
        </w:rPr>
        <w:t xml:space="preserve"> </w:t>
      </w:r>
      <w:r>
        <w:rPr>
          <w:rFonts w:cs="Arial"/>
          <w:b/>
          <w:i/>
          <w:sz w:val="24"/>
          <w:szCs w:val="24"/>
        </w:rPr>
      </w:r>
    </w:p>
    <w:p>
      <w:pPr>
        <w:keepNext/>
        <w:widowControl w:val="false"/>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Other forms of investment include private and other public investments. HOME funds will not be invested in a loan guarantee as an eligible activity as indicated in 24 CFR 92.205(b).</w:t>
      </w:r>
    </w:p>
    <w:p>
      <w:pPr>
        <w:spacing w:after="0" w:line="240" w:lineRule="auto"/>
        <w:rPr>
          <w:rFonts w:cs="Arial"/>
        </w:rPr>
      </w:pPr>
    </w:p>
    <w:p>
      <w:pPr>
        <w:keepNext/>
        <w:widowControl w:val="false"/>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The Oakland County Community &amp; Home Improvement Division has comprehensive program guidelines which provide for the recapture of HOME funds in compliance with program requirements 24 CFR 92.254(a). Under the recapture provision, the HOME investment subject to recapture is the HOME assistance that enables the homebuyer to afford the dwelling unit. This homebuyer assistance is a subsidy ($1,000.00 minimum) that makes the home affordable to a low-income homebuyer. The County’s home buyer assistance is a deferred payment loan with 0% interest. The Division secures its interest in the property with a mortgage and note. One hundred percent of the HOME investment is recaptured upon conversion of property use and/or ownership unless, due to foreclosure, there are not enough proceeds to pay the full amount of the loan. The County will accept the balance of the net proceeds as payment in full, the debt will be extinguished and the affordability period ends. Recaptured funds must be used to carry out HOME eligible activities.</w:t>
      </w:r>
    </w:p>
    <w:p>
      <w:pPr>
        <w:spacing w:after="0" w:line="240" w:lineRule="auto"/>
        <w:rPr>
          <w:rFonts w:cs="Arial"/>
        </w:rPr>
      </w:pPr>
    </w:p>
    <w:p>
      <w:pPr>
        <w:keepNext/>
        <w:widowControl w:val="false"/>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The HOME Program stipulates an affordability period on projects assisted with HOME funds to ensure that HOME investments yield affordable housing over the long term. Section 215 of the National Affordable Housing Act outlines the term “affordable housing”. To qualify as affordable, all rental and homeownership units constructed or rehabilitated with HOME funds must adhere to the regulation. It is the responsibility of each HOME participating jurisdiction to report to HUD the number of affordable units completed on an annual basis. Although the CDBG program does not require the qualification of units as “affordable” following the HOME Section 215 regulations, it is useful to keep track of affordable units rehabilitated with CDBG funds. Oakland County meets Section 215 requirements as:</w:t>
      </w:r>
      <w:r>
        <w:rPr>
          <w:rFonts w:cs="Arial"/>
        </w:rPr>
        <w:br/>
        <w:t xml:space="preserve"/>
      </w:r>
      <w:r>
        <w:rPr>
          <w:rFonts w:cs="Arial"/>
        </w:rPr>
        <w:t xml:space="preserve"> • HOME assisted units are available for households at 80% of area median income (AMI) or below</w:t>
      </w:r>
      <w:r>
        <w:rPr>
          <w:rFonts w:cs="Arial"/>
        </w:rPr>
        <w:br/>
        <w:t xml:space="preserve"/>
      </w:r>
      <w:r>
        <w:rPr>
          <w:rFonts w:cs="Arial"/>
        </w:rPr>
        <w:t xml:space="preserve"> • Initial purchase price of units does not exceed HUD Homeownership Value Limits (95% of the median purchase price for area or $219,000 for a single-family existing home (07/01/2020).</w:t>
      </w:r>
      <w:r>
        <w:rPr>
          <w:rFonts w:cs="Arial"/>
        </w:rPr>
        <w:br/>
        <w:t xml:space="preserve"/>
      </w:r>
      <w:r>
        <w:rPr>
          <w:rFonts w:cs="Arial"/>
        </w:rPr>
        <w:t xml:space="preserve"> • The units serve as the owner’s principal residence</w:t>
      </w:r>
      <w:r>
        <w:rPr>
          <w:rFonts w:cs="Arial"/>
        </w:rPr>
        <w:br/>
        <w:t xml:space="preserve"/>
      </w:r>
      <w:r>
        <w:rPr>
          <w:rFonts w:cs="Arial"/>
        </w:rPr>
        <w:t xml:space="preserve"> • All newly constructed housing meets energy efficiency standards</w:t>
      </w:r>
      <w:r>
        <w:rPr>
          <w:rFonts w:cs="Arial"/>
        </w:rPr>
        <w:br/>
        <w:t xml:space="preserve"/>
      </w:r>
      <w:r>
        <w:rPr>
          <w:rFonts w:cs="Arial"/>
        </w:rPr>
        <w:t xml:space="preserve"> • Recapture provisions allow the County to provide assistance as a deferred loan secured by mortgage and note (0% interest)</w:t>
      </w:r>
      <w:r>
        <w:rPr>
          <w:rFonts w:cs="Arial"/>
        </w:rPr>
        <w:br/>
        <w:t xml:space="preserve"/>
      </w:r>
      <w:r>
        <w:rPr>
          <w:rFonts w:cs="Arial"/>
        </w:rPr>
        <w:t xml:space="preserve"> • The loan becomes due and payable when you vacate, sell, transfer, or assign any legal or equitable interest in your property except where prohibited by law. Upon the deaths of the loan recipients, it is the responsibility of the estate or heirs to repay the loan when the estate is settled.</w:t>
      </w:r>
    </w:p>
    <w:p>
      <w:pPr>
        <w:spacing w:after="0" w:line="240" w:lineRule="auto"/>
        <w:rPr>
          <w:rFonts w:cs="Arial"/>
        </w:rPr>
      </w:pPr>
    </w:p>
    <w:p>
      <w:pPr>
        <w:keepNext/>
        <w:widowControl w:val="false"/>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The Oakland County HOME Consortium does not intend to refinance existing debt secured by multi- family housing rehabilitated with HOME funds.</w:t>
      </w:r>
    </w:p>
    <w:p>
      <w:pPr>
        <w:spacing w:after="0" w:line="240" w:lineRule="auto"/>
        <w:ind w:left="360"/>
        <w:rPr>
          <w:rFonts w:cs="Arial"/>
        </w:rPr>
      </w:pPr>
    </w:p>
    <w:p>
      <w:pPr>
        <w:keepNext/>
        <w:widowControl w:val="false"/>
        <w:spacing w:after="0" w:line="240" w:lineRule="auto"/>
        <w:jc w:val="center"/>
        <w:rPr>
          <w:rFonts w:cs="Arial"/>
          <w:b/>
          <w:sz w:val="24"/>
          <w:szCs w:val="24"/>
        </w:rPr>
      </w:pPr>
      <w:r>
        <w:rPr>
          <w:rFonts w:cs="Arial"/>
          <w:b/>
          <w:sz w:val="24"/>
          <w:szCs w:val="24"/>
        </w:rPr>
        <w:t>Emergency Solutions Grant (ESG)</w:t>
        <w:br/>
        <w:t>Reference 91.220(l)(4)</w:t>
      </w:r>
      <w:r>
        <w:rPr>
          <w:i/>
        </w:rPr>
        <w:t xml:space="preserve"> </w:t>
      </w:r>
      <w:r>
        <w:rPr>
          <w:rFonts w:cs="Arial"/>
          <w:b/>
          <w:i/>
          <w:sz w:val="24"/>
          <w:szCs w:val="24"/>
        </w:rPr>
      </w:r>
    </w:p>
    <w:p>
      <w:pPr>
        <w:keepNext/>
        <w:widowControl w:val="false"/>
        <w:spacing w:after="0" w:line="240" w:lineRule="auto"/>
        <w:jc w:val="center"/>
        <w:rPr>
          <w:rFonts w:cs="Arial"/>
          <w:b/>
          <w:sz w:val="24"/>
          <w:szCs w:val="24"/>
        </w:rPr>
      </w:pPr>
    </w:p>
    <w:p>
      <w:pPr>
        <w:keepNext/>
        <w:widowControl w:val="false"/>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r>
        <w:rPr>
          <w:i/>
          <w:sz w:val="24"/>
          <w:szCs w:val="24"/>
        </w:rPr>
      </w:r>
    </w:p>
    <w:p>
      <w:pPr>
        <w:keepNext/>
        <w:widowControl w:val="false"/>
        <w:spacing w:beforeAutospacing="true" w:afterAutospacing="true"/>
        <w:ind w:left="360"/>
        <w:rPr>
          <w:rFonts w:cs="Arial"/>
        </w:rPr>
      </w:pPr>
      <w:r>
        <w:rPr>
          <w:rFonts w:cs="Arial"/>
        </w:rPr>
        <w:t xml:space="preserve">For the Homeless Assistance and Rapid Re-housing portion of the grant, recipient agencies will conduct an initial evaluation to determine each individual or family’s eligibility for ESG assistance and the amount and types of assistance the household needs to regain stability in permanent housing. The evaluations will be conducted in accordance with the centralized assessment requirements of the Oakland County Continuum of Care. Eligibility requirements for the Rapid Re- Housing and/or prevention components of the program include:</w:t>
      </w:r>
    </w:p>
    <w:p>
      <w:pPr>
        <w:keepNext/>
        <w:widowControl w:val="false"/>
        <w:spacing w:beforeAutospacing="true" w:afterAutospacing="true"/>
        <w:ind w:left="360"/>
        <w:rPr>
          <w:rFonts w:cs="Arial"/>
        </w:rPr>
      </w:pPr>
      <w:r>
        <w:rPr>
          <w:rFonts w:cs="Arial"/>
        </w:rPr>
        <w:t xml:space="preserve">• The program participant must meet the criteria under the Federal homeless definition as amended under the HEARTH act. A homeless certification form is required.</w:t>
      </w:r>
      <w:r>
        <w:rPr>
          <w:rFonts w:cs="Arial"/>
        </w:rPr>
        <w:br/>
        <w:t xml:space="preserve"/>
      </w:r>
      <w:r>
        <w:rPr>
          <w:rFonts w:cs="Arial"/>
        </w:rPr>
        <w:t xml:space="preserve"> • The household income must be less than 30% of AMI. Annual income will be calculated using the standards for calculating income under HOME and Section 8 income guidelines.</w:t>
      </w:r>
      <w:r>
        <w:rPr>
          <w:rFonts w:cs="Arial"/>
        </w:rPr>
        <w:br/>
        <w:t xml:space="preserve"/>
      </w:r>
      <w:r>
        <w:rPr>
          <w:rFonts w:cs="Arial"/>
        </w:rPr>
        <w:t xml:space="preserve"> • The household cannot have assets more than $1,000 for an individual or $2,000 for a family</w:t>
      </w:r>
      <w:r>
        <w:rPr>
          <w:rFonts w:cs="Arial"/>
        </w:rPr>
        <w:br/>
        <w:t xml:space="preserve"/>
      </w:r>
      <w:r>
        <w:rPr>
          <w:rFonts w:cs="Arial"/>
        </w:rPr>
        <w:t xml:space="preserve"> • The program participant lacks enough resources and support networks necessary to retain housing without ESG Assistance, but for this assistance they would be homeless.</w:t>
      </w:r>
    </w:p>
    <w:p>
      <w:pPr>
        <w:keepNext/>
        <w:widowControl w:val="false"/>
        <w:spacing w:beforeAutospacing="true" w:afterAutospacing="true"/>
        <w:ind w:left="360"/>
        <w:rPr>
          <w:rFonts w:cs="Arial"/>
        </w:rPr>
      </w:pPr>
      <w:r>
        <w:rPr>
          <w:rFonts w:cs="Arial"/>
        </w:rPr>
        <w:t xml:space="preserve">After initial evaluation, a housing plan will be developed, and a participant must meet with his or her caseworker as prescribed under the plan. Unless prohibited under the Violence Against Women Act, as amended or the Family Violence Prevention and Services Act, the recipient will be connected to appropriate supportive services including assistance in obtaining permanent housing, mental health treatment, counseling and other services essential for achieving independent living. They will also be linked to federal, state, local and private assistance available to assist with obtaining housing stability including Medicaid, food assistance, WIC, unemployment benefits, SSI, SSDI, Veteran’s benefits, medical assistance, legal aid, employment assistance and other locally available assistance programs. A plan will be developed to assist the program participant to retain permanent housing after the assistance ends, considering all relevant considerations such as the program participants current or expected income and expenses, other public or private assistance for which the program participant will be eligible and likely to receive and the affordability of available housing in the area. Each participant will be linked to available PSH programs or the local HCV, Section 8 Voucher Programs, Public Housing Authorities and project based rental assistance when the waiting lists are open.</w:t>
      </w:r>
    </w:p>
    <w:p>
      <w:pPr>
        <w:keepNext/>
        <w:widowControl w:val="false"/>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r>
        <w:rPr>
          <w:i/>
          <w:sz w:val="24"/>
          <w:szCs w:val="24"/>
        </w:rPr>
      </w:r>
    </w:p>
    <w:p>
      <w:pPr>
        <w:widowControl w:val="false"/>
        <w:spacing w:beforeAutospacing="true" w:afterAutospacing="true"/>
        <w:ind w:left="360"/>
        <w:rPr>
          <w:rFonts w:cs="Arial"/>
        </w:rPr>
      </w:pPr>
      <w:r>
        <w:rPr>
          <w:rFonts w:cs="Arial"/>
        </w:rPr>
        <w:t xml:space="preserve">Oakland County agencies practice a no wrong door approach. Coordination among emergency shelter providers, essential services providers, homelessness prevention and rapid re-housing assistance providers, other homeless assistance providers and mainstream services and housing providers will be done through HMIS sharing, the centralized assessment form, the local Homeless Assistance and Recovery Agency (HARA) and the Community Inter-Agency Service Team (CIST). All ESG recipients will be required to be an active member of the Continuum of Care and attend bi-monthly CIST meetings. At these meetings, case managers can share information and resources and assist each other with resources for clients. MSHDA and Michigan DHHS with the full support from the Michigan Coalition Against Homelessness requires the use of a single assessment tool for people experiencing homelessness. This tool, known as the Vulnerability Index - Service Prioritization Decision Assistance Tool (VI-SPDAT) will provide HARAs and other housing agencies a standardized, evidence-informed assessment process that prioritizes vulnerability. Michigan’s Campaign to End Homelessness is committed to Housing First and has identified VI-SPDAT as the tool that will be implemented in every community so that our state moves forward in ending homelessness while supporting HEARTH Act regulations. Youth programs are exempt and use their own similar statewide assessment tool. </w:t>
      </w:r>
    </w:p>
    <w:p>
      <w:pPr>
        <w:widowControl w:val="false"/>
        <w:spacing w:beforeAutospacing="true" w:afterAutospacing="true"/>
        <w:ind w:left="360"/>
        <w:rPr>
          <w:rFonts w:cs="Arial"/>
        </w:rPr>
      </w:pPr>
      <w:r>
        <w:rPr>
          <w:rFonts w:cs="Arial"/>
        </w:rPr>
        <w:t xml:space="preserve">Oakland County providers meet once a month and have calls weekly to discuss VI-SPDAT scores and prioritize program openings based on need.</w:t>
      </w:r>
    </w:p>
    <w:p>
      <w:pPr>
        <w:widowControl w:val="false"/>
        <w:spacing w:beforeAutospacing="true" w:afterAutospacing="true"/>
        <w:ind w:left="360"/>
        <w:rPr>
          <w:rFonts w:cs="Arial"/>
        </w:rPr>
      </w:pPr>
      <w:r>
        <w:rPr>
          <w:rFonts w:cs="Arial"/>
        </w:rPr>
        <w:t xml:space="preserve">VI-SPDAT training is provided and offered free of charge. The training is mandatory for HARA mid- level management, HARA front line staff, DHHS Continuum of Care mid-level management and DHHS Continuum of Care Program front line staff. The DHHS Continuum of Care Program includes the following projects: Rapid Re-Housing Initiative, Transitional Supportive Housing Leasing Assistance Program, Rural Housing &amp; Supportive Services and the Rural Homeless PSH Initiative. HARA and DHHS Continuum of Care Program and Executive Directors are strongly encouraged to attend the training. HMIS entry is not granted to agency employees until VI-SPDAT training has been completed.</w:t>
      </w:r>
    </w:p>
    <w:p>
      <w:pPr>
        <w:keepNext/>
        <w:widowControl w:val="false"/>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r>
        <w:rPr>
          <w:i/>
          <w:sz w:val="24"/>
          <w:szCs w:val="24"/>
        </w:rPr>
      </w:r>
    </w:p>
    <w:p>
      <w:pPr>
        <w:widowControl w:val="false"/>
        <w:spacing w:beforeAutospacing="true" w:afterAutospacing="true"/>
        <w:ind w:left="360"/>
        <w:rPr>
          <w:rFonts w:cs="Arial"/>
        </w:rPr>
      </w:pPr>
      <w:r>
        <w:rPr>
          <w:rFonts w:cs="Arial"/>
        </w:rPr>
        <w:t xml:space="preserve">Generally, each June the Division hosts an ESG application workshop. The workshop is advertised in the Oakland Press, on the Oakland County website and on the Alliance for Housing list serve. The workshop provides details on the application requirements for the emergency shelter, HMIS and homeless prevention and rapid re-housing activities. Applicants are required to submit the supporting documents including non-profit status, HMIS certification, non-debarment status, financial statements, insurance, policies and procedures and budgets. All emergency shelters that meet the application requirements receive funding based on formula. The lead agency of the CoC receives the HMIS funds. HPRP is scored based upon specific criteria and the awards are determined by committee. One-year contracts are awarded once funds are released.</w:t>
      </w:r>
    </w:p>
    <w:p>
      <w:pPr>
        <w:keepNext/>
        <w:widowControl w:val="false"/>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r>
        <w:rPr>
          <w:i/>
          <w:sz w:val="24"/>
          <w:szCs w:val="24"/>
        </w:rPr>
      </w:r>
    </w:p>
    <w:p>
      <w:pPr>
        <w:widowControl w:val="false"/>
        <w:spacing w:beforeAutospacing="true" w:afterAutospacing="true"/>
        <w:ind w:left="360"/>
        <w:rPr>
          <w:rFonts w:cs="Arial"/>
        </w:rPr>
      </w:pPr>
      <w:r>
        <w:rPr>
          <w:rFonts w:cs="Arial"/>
        </w:rPr>
        <w:t xml:space="preserve">The Division has a member of Citizen Advisory Council who was preciously housed and was “couch surfing” with her child for a period.  Though this does not meet the official definition of homeless, Oakland County is committee to gaining representation of formerly homeless individuals on its advisory board. However, through consultation with the Continuum of Care body and citizen participation process, the County anticipates input from homeless or formerly homeless persons. In addition, as previously required in the ESG and Homeless Prevention and Rapid Re-Housing Program, the Division is passing this requirement on to funded agencies via contract language. This requirement will be checked at monitoring. The Continuum of Care does have a formerly homeless person on their board. The Continuum of Care provides input to the Division on the ESG program.</w:t>
      </w:r>
    </w:p>
    <w:p>
      <w:pPr>
        <w:keepNext/>
        <w:widowControl w:val="false"/>
        <w:numPr>
          <w:ilvl w:val="0"/>
          <w:numId w:val="14"/>
        </w:numPr>
        <w:spacing w:after="0" w:line="240" w:lineRule="auto"/>
        <w:rPr>
          <w:rFonts w:cs="Arial"/>
          <w:i/>
        </w:rPr>
      </w:pPr>
      <w:r>
        <w:rPr>
          <w:sz w:val="24"/>
          <w:szCs w:val="24"/>
        </w:rPr>
        <w:t>Describe performance standards for evaluating ESG.</w:t>
      </w:r>
      <w:r>
        <w:rPr>
          <w:i/>
        </w:rPr>
        <w:t xml:space="preserve"> </w:t>
      </w:r>
      <w:r>
        <w:rPr>
          <w:i/>
          <w:sz w:val="24"/>
          <w:szCs w:val="24"/>
        </w:rPr>
      </w:r>
    </w:p>
    <w:p>
      <w:pPr>
        <w:widowControl w:val="false"/>
        <w:spacing w:beforeAutospacing="true" w:afterAutospacing="true"/>
        <w:ind w:left="360"/>
        <w:rPr>
          <w:rFonts w:cs="Arial"/>
        </w:rPr>
      </w:pPr>
      <w:r>
        <w:rPr>
          <w:rFonts w:cs="Arial"/>
          <w:b/>
        </w:rPr>
        <w:t xml:space="preserve">ESG Monitoring Standards and Procedures -</w:t>
      </w:r>
      <w:r>
        <w:rPr>
          <w:rFonts w:cs="Arial"/>
        </w:rPr>
        <w:t xml:space="preserve"> Oakland County will continue to implement a monitoring policy to ensure that ESG recipients are following applicable requirements. Annual on-site monitoring of shelters and transitional housing providers will include inspections to ensure that housing conforms to habitability standards under the HEARTH Act as well as LBP regulations. In addition to project performance, accountability, financial responsibility and adherence to federal grant management regulations. Monitor reviews will sample client files to ensure that case management, action plans and referrals to mainstream benefits are provided and the files are maintained appropriately.</w:t>
      </w:r>
    </w:p>
    <w:p>
      <w:pPr>
        <w:widowControl w:val="false"/>
        <w:spacing w:beforeAutospacing="true" w:afterAutospacing="true"/>
        <w:ind w:left="360"/>
        <w:rPr>
          <w:rFonts w:cs="Arial"/>
        </w:rPr>
      </w:pPr>
      <w:r>
        <w:rPr>
          <w:rFonts w:cs="Arial"/>
        </w:rPr>
        <w:t xml:space="preserve">Reimbursement requests will be reviewed, and cross referenced with contracts and procurement documents as warranted. Rapid re-housing and homeless prevention files will be checked to ensure that all required documents including homeless certification forms, income calculations, lease, recertification documents and habitability inspection reports are accurate. In addition, before reimbursement can be made verification will be required including certification of homelessness, lease documents, income calculations, as well as cancelled check and invoices. A contract will be developed requiring quarterly reimbursement requests and timely expenditure of funds. Monitoring was done via desk audits or in person as the COVID-19 pandemic restrictions allow.</w:t>
      </w:r>
    </w:p>
    <w:p>
      <w:pPr>
        <w:widowControl w:val="false"/>
        <w:spacing w:beforeAutospacing="true" w:afterAutospacing="true"/>
        <w:ind w:left="360"/>
        <w:rPr>
          <w:rFonts w:cs="Arial"/>
        </w:rPr>
      </w:pPr>
      <w:r>
        <w:rPr>
          <w:rFonts w:cs="Arial"/>
        </w:rPr>
        <w:t xml:space="preserve">Performance Measures - Oakland County’s ESG program complies with CofC performance measurements which are available at https://www.oaklandhomeless.org/</w:t>
      </w:r>
    </w:p>
    <w:p>
      <w:pPr>
        <w:widowControl w:val="false"/>
        <w:spacing w:beforeAutospacing="true" w:afterAutospacing="true"/>
        <w:ind w:left="360"/>
        <w:rPr>
          <w:rFonts w:cs="Arial"/>
        </w:rPr>
      </w:pPr>
      <w:r>
        <w:rPr>
          <w:rFonts w:cs="Arial"/>
        </w:rPr>
        <w:t xml:space="preserve">Homeless - 65% of participants who meet the homeless definition will be stably housed 90 days after being exited from ESG/HARA through independent means or through linkage to another program (e.g. PSH, subsidized housing).</w:t>
      </w:r>
    </w:p>
    <w:p>
      <w:pPr>
        <w:widowControl w:val="false"/>
        <w:spacing w:beforeAutospacing="true" w:afterAutospacing="true"/>
        <w:ind w:left="360"/>
        <w:rPr>
          <w:rFonts w:cs="Arial"/>
        </w:rPr>
      </w:pPr>
      <w:r>
        <w:rPr>
          <w:rFonts w:cs="Arial"/>
        </w:rPr>
        <w:t xml:space="preserve">Chronically Homeless - 50% of participants who meet the chronically homeless definition will be stably housed 90 days after being exited from ESG/HARA through independent means or through linkage to another program (e.g. PSH, subsidized housing)</w:t>
      </w:r>
    </w:p>
    <w:p>
      <w:pPr>
        <w:widowControl w:val="false"/>
        <w:spacing w:beforeAutospacing="true" w:afterAutospacing="true"/>
        <w:ind w:left="360"/>
        <w:rPr>
          <w:rFonts w:cs="Arial"/>
        </w:rPr>
      </w:pPr>
      <w:r>
        <w:rPr>
          <w:rFonts w:cs="Arial"/>
        </w:rPr>
        <w:t xml:space="preserve">In April 2016, MDHHS, MSHDA and MCAH issued an important update to the SPDAT which outline the VI- SPDAT and SPDAT requirements. For the past two years SPDAT has brought Michigan further along in the goal to redesign systems by providing every community a standardized evidence-based tool to support coordinated entry while taking Housing First practices to scale statewide. Since the implementation of the VI-SPDAT, the Alliance has reported that the tool helps them gauge the progression of client self-sufficiency as it relates to housing. Because the full VI-SPDAT is used during every follow-up meeting completed with active ESG clients assisted, it is instrumental in practicing progressive engagement with clients to ensure not only that basic needs are being fulfilled but that linkage to other resources are being made. Due to COVID-19, the prioritization method is being reviewed to include those who have been infected with the virus as well as those who have been temporarily sheltered in hotels to become quickly re-housed.</w:t>
      </w:r>
    </w:p>
    <w:p>
      <w:pPr>
        <w:widowControl w:val="false"/>
        <w:spacing w:beforeAutospacing="true" w:afterAutospacing="true"/>
        <w:ind w:left="360"/>
        <w:rPr>
          <w:rFonts w:cs="Arial"/>
        </w:rPr>
      </w:pPr>
      <w:r>
        <w:rPr>
          <w:rFonts w:cs="Arial"/>
        </w:rPr>
        <w:t xml:space="preserve">Additional MSHDA/ESG outcomes include</w:t>
      </w:r>
    </w:p>
    <w:p>
      <w:pPr>
        <w:widowControl w:val="false"/>
        <w:spacing w:beforeAutospacing="true" w:afterAutospacing="true"/>
        <w:ind w:left="360"/>
        <w:rPr>
          <w:rFonts w:cs="Arial"/>
        </w:rPr>
      </w:pPr>
      <w:r>
        <w:rPr>
          <w:rFonts w:cs="Arial"/>
        </w:rPr>
        <w:t xml:space="preserve">• Percentage of those served who maintain housing one year after assistance ends (RRH and Prevention)</w:t>
      </w:r>
      <w:r>
        <w:rPr>
          <w:rFonts w:cs="Arial"/>
        </w:rPr>
        <w:br/>
        <w:t xml:space="preserve"/>
      </w:r>
      <w:r>
        <w:rPr>
          <w:rFonts w:cs="Arial"/>
        </w:rPr>
        <w:t xml:space="preserve"> • Percentage of clients that increase income within that year and/or within the timeframe of active housing assistance</w:t>
      </w:r>
      <w:r>
        <w:rPr>
          <w:rFonts w:cs="Arial"/>
        </w:rPr>
        <w:br/>
        <w:t xml:space="preserve"/>
      </w:r>
      <w:r>
        <w:rPr>
          <w:rFonts w:cs="Arial"/>
        </w:rPr>
        <w:t xml:space="preserve"> • Length of time between screening/intake and moving into housing</w:t>
      </w:r>
      <w:r>
        <w:rPr>
          <w:rFonts w:cs="Arial"/>
        </w:rPr>
        <w:br/>
        <w:t xml:space="preserve"/>
      </w:r>
      <w:r>
        <w:rPr>
          <w:rFonts w:cs="Arial"/>
        </w:rPr>
        <w:t xml:space="preserve"> • Minimum number of households served each PY</w:t>
      </w:r>
    </w:p>
    <w:p>
      <w:pPr>
        <w:rPr>
          <w:b/>
          <w:sz w:val="24"/>
          <w:szCs w:val="24"/>
        </w:rPr>
      </w:pPr>
      <w:r>
        <w:rPr>
          <w:b/>
          <w:sz w:val="24"/>
          <w:szCs w:val="24"/>
        </w:rPr>
        <w:t>Discussion</w:t>
      </w:r>
    </w:p>
    <w:p>
      <w:pPr>
        <w:spacing w:beforeAutospacing="true" w:afterAutospacing="true"/>
        <w:rPr>
          <w:rFonts w:cs="Arial"/>
        </w:rPr>
      </w:pPr>
      <w:r>
        <w:rPr>
          <w:rFonts w:cs="Arial"/>
        </w:rPr>
        <w:t xml:space="preserve">Modifications to the residency factor in the ESG formula have been discussed at the staff level.  The Division plans to meet with stakeholders and to present any proposed changes for CAC and BOC consideration.  For the PY 2021-2025 Consolidated Plan the Division will follow its Citizen Participation Plan amendment process if required to address any ESG formula changes that may impact the County’s program.</w:t>
      </w:r>
    </w:p>
    <w:p>
      <w:pPr>
        <w:spacing w:after="0" w:line="240" w:lineRule="auto"/>
        <w:rPr>
          <w:rFonts w:cs="Arial"/>
        </w:rPr>
      </w:pPr>
      <w:r>
        <w:rPr>
          <w:rFonts w:cs="Arial"/>
        </w:rPr>
        <w:br w:type="page"/>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2021</w:t>
          </w:r>
        </w:p>
      </w:tc>
      <w:tc>
        <w:tcPr>
          <w:tcW w:w="772" w:type="dxa"/>
        </w:tcPr>
        <w:p>
          <w:pPr>
            <w:pStyle w:val="Footer"/>
            <w:spacing w:after="0" w:line="240" w:lineRule="auto"/>
            <w:jc w:val="right"/>
          </w:pPr>
          <w:r>
            <w:fldChar w:fldCharType="begin"/>
            <w:instrText>page</w:instrText>
            <w:fldChar w:fldCharType="separate"/>
            <w:t>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2021</w:t>
          </w:r>
        </w:p>
      </w:tc>
      <w:tc>
        <w:tcPr>
          <w:tcW w:w="772" w:type="dxa"/>
        </w:tcPr>
        <w:p>
          <w:pPr>
            <w:pStyle w:val="Footer"/>
            <w:spacing w:after="0" w:line="240" w:lineRule="auto"/>
            <w:jc w:val="right"/>
          </w:pPr>
          <w:r>
            <w:fldChar w:fldCharType="begin"/>
            <w:instrText>page</w:instrText>
            <w:fldChar w:fldCharType="separate"/>
            <w:t>13</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 xml:space="preserve">OMB Control No: 2506-0117 (exp. </w:t>
    </w:r>
    <w:bookmarkStart w:id="1" w:name="_GoBack"/>
    <w:r>
      <w:rPr>
        <w:rFonts w:cs="Arial" w:asciiTheme="minorHAnsi" w:hAnsiTheme="minorHAnsi"/>
        <w:color w:val="000000"/>
        <w:sz w:val="16"/>
      </w:rPr>
      <w:t>09/30/2021</w:t>
    </w:r>
    <w:bookmarkEnd w:id="1"/>
    <w:r>
      <w:rPr>
        <w:rFonts w:cs="Arial" w:asciiTheme="minorHAnsi" w:hAnsiTheme="minorHAnsi"/>
        <w:color w:val="00000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4"/>
  </w:num>
  <w:num w:numId="15">
    <w:abstractNumId w:val="12"/>
  </w:num>
  <w:num w:numId="16">
    <w:abstractNumId w:val="13"/>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 w15">
  <w:view w:val="print"/>
  <w:zoom w:percent="100"/>
  <w:proofState w:spelling="clean" w:grammar="clean"/>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67A30"/>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FD654E7B-A5C9-4E23-BD7D-7CE66BF88EE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Microsoft</properties:Company>
  <properties:Pages>25</properties:Pages>
  <properties:Words>4317</properties:Words>
  <properties:Characters>24612</properties:Characters>
  <properties:Lines>205</properties:Lines>
  <properties:Paragraphs>57</properties:Paragraphs>
  <properties:TotalTime>61</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Here is some text  </vt:lpstr>
    </vt:vector>
  </properties:TitlesOfParts>
  <properties:LinksUpToDate>false</properties:LinksUpToDate>
  <properties:CharactersWithSpaces>28872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2012-09-17T18:31:00Z</dcterms:created>
  <dc:creator>Rocio</dc:creator>
  <dc:description/>
  <cp:keywords/>
  <cp:lastModifiedBy>docx4j</cp:lastModifiedBy>
  <dcterms:modified xmlns:xsi="http://www.w3.org/2001/XMLSchema-instance" xsi:type="dcterms:W3CDTF">2020-09-28T13:34:00Z</dcterms:modified>
  <cp:revision>61</cp:revision>
  <dc:subject/>
  <dc:title>Here is some text  </dc:title>
</cp:coreProperties>
</file>