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Target="docProps/core.xml" Type="http://schemas.openxmlformats.org/package/2006/relationships/metadata/core-properties" Id="rId3"></Relationship><Relationship Target="docProps/thumbnail.emf" Type="http://schemas.openxmlformats.org/package/2006/relationships/metadata/thumbnail" Id="rId2"></Relationship><Relationship Target="word/document.xml" Type="http://schemas.openxmlformats.org/officeDocument/2006/relationships/officeDocument" Id="rId1"></Relationship><Relationship Target="docProps/app.xml" Type="http://schemas.openxmlformats.org/officeDocument/2006/relationships/extended-properties" Id="rId4"></Relationship></Relationships>
</file>

<file path=word/document.xml><?xml version="1.0" encoding="utf-8"?>
<w:document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8688d8" w14:textId="b28688d8">
      <w:pPr>
        <w:pStyle w:val="Heading2"/>
        <w15:collapsed w:val="false"/>
        <w:rPr>
          <w:rFonts w:ascii="Calibri" w:hAnsi="Calibri"/>
          <w:i w:val="false"/>
        </w:rPr>
      </w:pPr>
      <w:r>
        <w:rPr>
          <w:rFonts w:ascii="Calibri" w:hAnsi="Calibri"/>
          <w:i w:val="false"/>
        </w:rPr>
        <w:t>CR-05 - Goals and Outcomes</w:t>
      </w:r>
    </w:p>
    <w:p>
      <w:pPr>
        <w:keepNext/>
        <w:widowControl w:val="false"/>
        <w:spacing w:after="0" w:line="240" w:lineRule="auto"/>
        <w:rPr>
          <w:b/>
          <w:sz w:val="28"/>
          <w:szCs w:val="28"/>
        </w:rPr>
      </w:pPr>
      <w:r>
        <w:rPr>
          <w:b/>
          <w:sz w:val="24"/>
          <w:szCs w:val="24"/>
        </w:rPr>
        <w:t>Progress the jurisdiction has made in carrying out its strategic plan and its action plan.  91.520(a)</w:t>
      </w:r>
      <w:r>
        <w:rPr>
          <w:b/>
          <w:sz w:val="28"/>
          <w:szCs w:val="28"/>
        </w:rPr>
        <w:t xml:space="preserve"> </w:t>
      </w:r>
    </w:p>
    <w:p>
      <w:pPr>
        <w:keepNext/>
        <w:widowControl w:val="false"/>
        <w:spacing w:after="0" w:line="240" w:lineRule="auto"/>
      </w:pPr>
      <w:r>
        <w:t>This could be an overview that includes major initiatives and highlights that were proposed and executed throughout the program year.</w:t>
      </w:r>
    </w:p>
    <w:p>
      <w:pPr>
        <w:keepNext/>
        <w:widowControl w:val="false"/>
        <w:spacing w:after="0" w:line="240" w:lineRule="auto"/>
        <w:rPr>
          <w:b/>
        </w:rPr>
      </w:pPr>
    </w:p>
    <w:p>
      <w:pPr>
        <w:widowControl w:val="false"/>
        <w:spacing w:beforeAutospacing="true" w:afterAutospacing="true"/>
        <w:rPr>
          <w:szCs w:val="24"/>
        </w:rPr>
      </w:pPr>
      <w:r>
        <w:rPr/>
        <w:t xml:space="preserve">Throughout the 2015-2019 Consolidated plan years, the City of Columbus has worked to restructure the CDBG program to ensure that projects better align with identified community needs, and to ensure full compliance with CDBG regulations and Uniform Guidance. Over these years the City has taken a critical look at our own internal structure and the performance of our sub recipients. In addition, the city completed the 2020-2024 consolidated planning process. During that process citizens identified neighborhood infrastructure and reinvestment has a priority need. </w:t>
      </w:r>
    </w:p>
    <w:p>
      <w:pPr>
        <w:keepNext/>
        <w:widowControl w:val="false"/>
        <w:spacing w:after="0" w:line="240" w:lineRule="auto"/>
        <w:rPr>
          <w:b/>
          <w:sz w:val="24"/>
          <w:szCs w:val="24"/>
        </w:rPr>
      </w:pPr>
      <w:r>
        <w:rPr>
          <w:b/>
          <w:sz w:val="24"/>
          <w:szCs w:val="24"/>
        </w:rPr>
        <w:t>Comparison of the proposed versus actual outcomes for each outcome measure submitted with the consolidated plan and explain, if applicable, why progress was not made toward meeting goals and objectives.  91.520(g)</w:t>
      </w:r>
    </w:p>
    <w:p>
      <w:pPr>
        <w:keepNext/>
        <w:widowControl w:val="false"/>
        <w:spacing w:after="0" w:line="240" w:lineRule="auto"/>
        <w:rPr>
          <w:szCs w:val="24"/>
        </w:rPr>
      </w:pPr>
      <w:r>
        <w:t>Categories, priority levels, funding sources and amounts, outcomes/objectives, goal outcome indicators, units of measure, targets, actual outcomes/outputs, and percentage completed for each of the grantee’s program year goals.</w:t>
      </w:r>
    </w:p>
    <w:p>
      <w:pPr>
        <w:widowControl w:val="false"/>
        <w:rPr>
          <w:b/>
          <w:sz w:val="24"/>
          <w:szCs w:val="24"/>
        </w:rPr>
      </w:pPr>
    </w:p>
    <w:tbl>
      <w:tblPr>
        <w:tblStyle w:val="TableGrid"/>
        <w:tblW w:w="13728" w:type="dxa"/>
        <w:tblInd w:w="0" w:type="dxa"/>
        <w:tblLook w:firstRow="1" w:lastRow="0" w:firstColumn="1" w:lastColumn="0" w:noHBand="0" w:noVBand="1" w:val="04A0"/>
      </w:tblPr>
      <w:tblGrid>
        <w:gridCol w:w="1248"/>
        <w:gridCol w:w="1248"/>
        <w:gridCol w:w="1248"/>
        <w:gridCol w:w="1248"/>
        <w:gridCol w:w="1248"/>
        <w:gridCol w:w="1248"/>
        <w:gridCol w:w="1248"/>
        <w:gridCol w:w="1248"/>
        <w:gridCol w:w="1248"/>
        <w:gridCol w:w="1248"/>
        <w:gridCol w:w="1248"/>
      </w:tblGrid>
      <w:tr>
        <w:tc>
          <w:tcPr>
            <w:tcW w:w="1248" w:type="dxa"/>
          </w:tcPr>
          <w:p>
            <w:pPr>
              <w:keepNext/>
              <w:widowControl w:val="false"/>
              <w:spacing w:after="0" w:line="240" w:lineRule="auto"/>
              <w:rPr>
                <w:b/>
              </w:rPr>
            </w:pPr>
            <w:r>
              <w:rPr>
                <w:b/>
              </w:rPr>
              <w:t>Goal</w:t>
            </w:r>
          </w:p>
        </w:tc>
        <w:tc>
          <w:tcPr>
            <w:tcW w:w="1248" w:type="dxa"/>
          </w:tcPr>
          <w:p>
            <w:pPr>
              <w:keepNext/>
              <w:widowControl w:val="false"/>
              <w:spacing w:after="0" w:line="240" w:lineRule="auto"/>
              <w:rPr>
                <w:b/>
              </w:rPr>
            </w:pPr>
            <w:r>
              <w:rPr>
                <w:b/>
              </w:rPr>
              <w:t>Category</w:t>
            </w:r>
          </w:p>
        </w:tc>
        <w:tc>
          <w:tcPr>
            <w:tcW w:w="1248" w:type="dxa"/>
          </w:tcPr>
          <w:p>
            <w:pPr>
              <w:keepNext/>
              <w:widowControl w:val="false"/>
              <w:spacing w:after="0" w:line="240" w:lineRule="auto"/>
              <w:rPr>
                <w:b/>
              </w:rPr>
            </w:pPr>
            <w:r>
              <w:rPr>
                <w:b/>
              </w:rPr>
              <w:t>Source / Amount</w:t>
            </w:r>
          </w:p>
        </w:tc>
        <w:tc>
          <w:tcPr>
            <w:tcW w:w="1248" w:type="dxa"/>
          </w:tcPr>
          <w:p>
            <w:pPr>
              <w:keepNext/>
              <w:widowControl w:val="false"/>
              <w:spacing w:after="0" w:line="240" w:lineRule="auto"/>
              <w:rPr>
                <w:b/>
              </w:rPr>
            </w:pPr>
            <w:r>
              <w:rPr>
                <w:b/>
              </w:rPr>
              <w:t>Indicator</w:t>
            </w:r>
          </w:p>
        </w:tc>
        <w:tc>
          <w:tcPr>
            <w:tcW w:w="1248" w:type="dxa"/>
          </w:tcPr>
          <w:p>
            <w:pPr>
              <w:keepNext/>
              <w:widowControl w:val="false"/>
              <w:spacing w:after="0" w:line="240" w:lineRule="auto"/>
              <w:rPr>
                <w:b/>
              </w:rPr>
            </w:pPr>
            <w:r>
              <w:rPr>
                <w:b/>
              </w:rPr>
              <w:t>Unit of Measure</w:t>
            </w:r>
          </w:p>
        </w:tc>
        <w:tc>
          <w:tcPr>
            <w:tcW w:w="1248" w:type="dxa"/>
          </w:tcPr>
          <w:p>
            <w:pPr>
              <w:keepNext/>
              <w:widowControl w:val="false"/>
              <w:spacing w:after="0" w:line="240" w:lineRule="auto"/>
              <w:rPr>
                <w:b/>
              </w:rPr>
            </w:pPr>
            <w:r>
              <w:rPr>
                <w:b/>
              </w:rPr>
              <w:t>Expected – Strategic Plan</w:t>
            </w:r>
          </w:p>
        </w:tc>
        <w:tc>
          <w:tcPr>
            <w:tcW w:w="1248" w:type="dxa"/>
          </w:tcPr>
          <w:p>
            <w:pPr>
              <w:keepNext/>
              <w:widowControl w:val="false"/>
              <w:spacing w:after="0" w:line="240" w:lineRule="auto"/>
              <w:rPr>
                <w:b/>
              </w:rPr>
            </w:pPr>
            <w:r>
              <w:rPr>
                <w:b/>
              </w:rPr>
              <w:t>Actual – Strategic Plan</w:t>
            </w:r>
          </w:p>
        </w:tc>
        <w:tc>
          <w:tcPr>
            <w:tcW w:w="1248" w:type="dxa"/>
          </w:tcPr>
          <w:p>
            <w:pPr>
              <w:keepNext/>
              <w:widowControl w:val="false"/>
              <w:spacing w:after="0" w:line="240" w:lineRule="auto"/>
              <w:rPr>
                <w:b/>
              </w:rPr>
            </w:pPr>
            <w:r>
              <w:rPr>
                <w:b/>
              </w:rPr>
              <w:t>Percent Complete</w:t>
            </w:r>
          </w:p>
        </w:tc>
        <w:tc>
          <w:tcPr>
            <w:tcW w:w="1248" w:type="dxa"/>
          </w:tcPr>
          <w:p>
            <w:pPr>
              <w:keepNext/>
              <w:widowControl w:val="false"/>
              <w:spacing w:after="0" w:line="240" w:lineRule="auto"/>
              <w:rPr>
                <w:b/>
              </w:rPr>
            </w:pPr>
            <w:r>
              <w:rPr>
                <w:b/>
              </w:rPr>
              <w:t>Expected – Program Year</w:t>
            </w:r>
          </w:p>
        </w:tc>
        <w:tc>
          <w:tcPr>
            <w:tcW w:w="1248" w:type="dxa"/>
          </w:tcPr>
          <w:p>
            <w:pPr>
              <w:keepNext/>
              <w:widowControl w:val="false"/>
              <w:spacing w:after="0" w:line="240" w:lineRule="auto"/>
              <w:rPr>
                <w:b/>
              </w:rPr>
            </w:pPr>
            <w:r>
              <w:rPr>
                <w:b/>
              </w:rPr>
              <w:t>Actual – Program Year</w:t>
            </w:r>
          </w:p>
        </w:tc>
        <w:tc>
          <w:tcPr>
            <w:tcW w:w="1248" w:type="dxa"/>
          </w:tcPr>
          <w:p>
            <w:pPr>
              <w:keepNext/>
              <w:widowControl w:val="false"/>
              <w:spacing w:after="0" w:line="240" w:lineRule="auto"/>
              <w:rPr>
                <w:b/>
              </w:rPr>
            </w:pPr>
            <w:r>
              <w:rPr>
                <w:b/>
              </w:rPr>
              <w:t>Percent Complete</w:t>
            </w:r>
          </w:p>
        </w:tc>
      </w:tr>
      <w:tr>
        <w:trPr>
          <w:cantSplit w:val="true"/>
        </w:trPr>
        <w:tc>
          <w:tcPr>
            <w:vAlign w:val="center"/>
          </w:tcPr>
          <w:p>
            <w:pPr>
              <w:spacing w:beforeAutospacing="true" w:afterAutospacing="true"/>
              <w:jc w:val="left"/>
            </w:pPr>
            <w:r>
              <w:rPr>
                <w:rFonts w:ascii="Calibri" w:hAnsi="Calibri"/>
                <w:color w:val="000000"/>
                <w:sz w:val="22"/>
              </w:rPr>
              <w:t xml:space="preserve">Assist low to moderate income owner-occupied homes</w:t>
            </w:r>
          </w:p>
        </w:tc>
        <w:tc>
          <w:tcPr>
            <w:vAlign w:val="center"/>
          </w:tcPr>
          <w:p>
            <w:pPr>
              <w:spacing w:beforeAutospacing="true" w:afterAutospacing="true"/>
              <w:jc w:val="left"/>
            </w:pPr>
            <w:r>
              <w:rPr>
                <w:rFonts w:ascii="Calibri" w:hAnsi="Calibri"/>
                <w:color w:val="000000"/>
                <w:sz w:val="22"/>
              </w:rPr>
              <w:t xml:space="preserve">Affordable Housing</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Homeowner Housing Added</w:t>
            </w:r>
          </w:p>
        </w:tc>
        <w:tc>
          <w:tcPr>
            <w:vAlign w:val="center"/>
          </w:tcPr>
          <w:p>
            <w:pPr>
              <w:spacing w:beforeAutospacing="true" w:afterAutospacing="true"/>
              <w:jc w:val="left"/>
            </w:pPr>
            <w:r>
              <w:rPr>
                <w:rFonts w:ascii="Calibri" w:hAnsi="Calibri"/>
                <w:color w:val="000000"/>
                <w:sz w:val="22"/>
              </w:rPr>
              <w:t xml:space="preserve">Household Housing Unit</w:t>
            </w:r>
          </w:p>
        </w:tc>
        <w:tc>
          <w:tcPr>
            <w:vAlign w:val="center"/>
          </w:tcPr>
          <w:p>
            <w:pPr>
              <w:spacing w:beforeAutospacing="true" w:afterAutospacing="true"/>
              <w:jc w:val="left"/>
            </w:pPr>
            <w:r>
              <w:rPr>
                <w:rFonts w:ascii="Calibri" w:hAnsi="Calibri"/>
                <w:color w:val="000000"/>
                <w:sz w:val="22"/>
              </w:rPr>
              <w:t xml:space="preserve">85</w:t>
            </w:r>
          </w:p>
        </w:tc>
        <w:tc>
          <w:tcPr>
            <w:vAlign w:val="center"/>
          </w:tcPr>
          <w:p>
            <w:pPr>
              <w:spacing w:beforeAutospacing="true" w:afterAutospacing="true"/>
              <w:jc w:val="left"/>
            </w:pPr>
            <w:r>
              <w:rPr>
                <w:rFonts w:ascii="Calibri" w:hAnsi="Calibri"/>
                <w:color w:val="000000"/>
                <w:sz w:val="22"/>
              </w:rPr>
              <w:t xml:space="preserve">8</w:t>
            </w:r>
          </w:p>
        </w:tc>
        <w:tc>
          <w:tcPr>
            <w:vAlign w:val="center"/>
          </w:tcPr>
          <w:p>
            <w:pPr>
              <w:spacing w:beforeAutospacing="true" w:afterAutospacing="true"/>
              <w:jc w:val="left"/>
            </w:pPr>
            <w:r>
              <w:rPr>
                <w:rFonts w:ascii="Calibri" w:hAnsi="Calibri"/>
                <w:color w:val="000000"/>
                <w:sz w:val="22"/>
              </w:rPr>
              <w:t xml:space="preserve">         9.41%</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r>
      <w:tr>
        <w:trPr>
          <w:cantSplit w:val="true"/>
        </w:trPr>
        <w:tc>
          <w:tcPr>
            <w:vAlign w:val="center"/>
          </w:tcPr>
          <w:p>
            <w:pPr>
              <w:spacing w:beforeAutospacing="true" w:afterAutospacing="true"/>
              <w:jc w:val="left"/>
            </w:pPr>
            <w:r>
              <w:rPr>
                <w:rFonts w:ascii="Calibri" w:hAnsi="Calibri"/>
                <w:color w:val="000000"/>
                <w:sz w:val="22"/>
              </w:rPr>
              <w:t xml:space="preserve">Assist low to moderate income owner-occupied homes</w:t>
            </w:r>
          </w:p>
        </w:tc>
        <w:tc>
          <w:tcPr>
            <w:vAlign w:val="center"/>
          </w:tcPr>
          <w:p>
            <w:pPr>
              <w:spacing w:beforeAutospacing="true" w:afterAutospacing="true"/>
              <w:jc w:val="left"/>
            </w:pPr>
            <w:r>
              <w:rPr>
                <w:rFonts w:ascii="Calibri" w:hAnsi="Calibri"/>
                <w:color w:val="000000"/>
                <w:sz w:val="22"/>
              </w:rPr>
              <w:t xml:space="preserve">Affordable Housing</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Homeowner Housing Rehabilitated</w:t>
            </w:r>
          </w:p>
        </w:tc>
        <w:tc>
          <w:tcPr>
            <w:vAlign w:val="center"/>
          </w:tcPr>
          <w:p>
            <w:pPr>
              <w:spacing w:beforeAutospacing="true" w:afterAutospacing="true"/>
              <w:jc w:val="left"/>
            </w:pPr>
            <w:r>
              <w:rPr>
                <w:rFonts w:ascii="Calibri" w:hAnsi="Calibri"/>
                <w:color w:val="000000"/>
                <w:sz w:val="22"/>
              </w:rPr>
              <w:t xml:space="preserve">Household Housing Unit</w:t>
            </w:r>
          </w:p>
        </w:tc>
        <w:tc>
          <w:tcPr>
            <w:vAlign w:val="center"/>
          </w:tcPr>
          <w:p>
            <w:pPr>
              <w:spacing w:beforeAutospacing="true" w:afterAutospacing="true"/>
              <w:jc w:val="left"/>
            </w:pPr>
            <w:r>
              <w:rPr>
                <w:rFonts w:ascii="Calibri" w:hAnsi="Calibri"/>
                <w:color w:val="000000"/>
                <w:sz w:val="22"/>
              </w:rPr>
              <w:t xml:space="preserve">3525</w:t>
            </w:r>
          </w:p>
        </w:tc>
        <w:tc>
          <w:tcPr>
            <w:vAlign w:val="center"/>
          </w:tcPr>
          <w:p>
            <w:pPr>
              <w:spacing w:beforeAutospacing="true" w:afterAutospacing="true"/>
              <w:jc w:val="left"/>
            </w:pPr>
            <w:r>
              <w:rPr>
                <w:rFonts w:ascii="Calibri" w:hAnsi="Calibri"/>
                <w:color w:val="000000"/>
                <w:sz w:val="22"/>
              </w:rPr>
              <w:t xml:space="preserve">12</w:t>
            </w:r>
          </w:p>
        </w:tc>
        <w:tc>
          <w:tcPr>
            <w:vAlign w:val="center"/>
          </w:tcPr>
          <w:p>
            <w:pPr>
              <w:spacing w:beforeAutospacing="true" w:afterAutospacing="true"/>
              <w:jc w:val="left"/>
            </w:pPr>
            <w:r>
              <w:rPr>
                <w:rFonts w:ascii="Calibri" w:hAnsi="Calibri"/>
                <w:color w:val="000000"/>
                <w:sz w:val="22"/>
              </w:rPr>
              <w:t xml:space="preserve">         0.34%</w:t>
            </w:r>
          </w:p>
        </w:tc>
        <w:tc>
          <w:tcPr>
            <w:vAlign w:val="center"/>
          </w:tcPr>
          <w:p>
            <w:pPr>
              <w:spacing w:beforeAutospacing="true" w:afterAutospacing="true"/>
              <w:jc w:val="left"/>
            </w:pPr>
            <w:r>
              <w:rPr>
                <w:rFonts w:ascii="Calibri" w:hAnsi="Calibri"/>
                <w:color w:val="000000"/>
                <w:sz w:val="22"/>
              </w:rPr>
              <w:t xml:space="preserve">700</w:t>
            </w:r>
          </w:p>
        </w:tc>
        <w:tc>
          <w:tcPr>
            <w:vAlign w:val="center"/>
          </w:tcPr>
          <w:p>
            <w:pPr>
              <w:spacing w:beforeAutospacing="true" w:afterAutospacing="true"/>
              <w:jc w:val="left"/>
            </w:pPr>
            <w:r>
              <w:rPr>
                <w:rFonts w:ascii="Calibri" w:hAnsi="Calibri"/>
                <w:color w:val="000000"/>
                <w:sz w:val="22"/>
              </w:rPr>
              <w:t xml:space="preserve">112</w:t>
            </w:r>
          </w:p>
        </w:tc>
        <w:tc>
          <w:tcPr>
            <w:vAlign w:val="center"/>
          </w:tcPr>
          <w:p>
            <w:pPr>
              <w:spacing w:beforeAutospacing="true" w:afterAutospacing="true"/>
              <w:jc w:val="left"/>
            </w:pPr>
            <w:r>
              <w:rPr>
                <w:rFonts w:ascii="Calibri" w:hAnsi="Calibri"/>
                <w:color w:val="000000"/>
                <w:sz w:val="22"/>
              </w:rPr>
              <w:t xml:space="preserve">        16.00%</w:t>
            </w:r>
          </w:p>
        </w:tc>
      </w:tr>
      <w:tr>
        <w:trPr>
          <w:cantSplit w:val="true"/>
        </w:trPr>
        <w:tc>
          <w:tcPr>
            <w:vAlign w:val="center"/>
          </w:tcPr>
          <w:p>
            <w:pPr>
              <w:spacing w:beforeAutospacing="true" w:afterAutospacing="true"/>
              <w:jc w:val="left"/>
            </w:pPr>
            <w:r>
              <w:rPr>
                <w:rFonts w:ascii="Calibri" w:hAnsi="Calibri"/>
                <w:color w:val="000000"/>
                <w:sz w:val="22"/>
              </w:rPr>
              <w:t xml:space="preserve">Assist low to moderate income owner-occupied homes</w:t>
            </w:r>
          </w:p>
        </w:tc>
        <w:tc>
          <w:tcPr>
            <w:vAlign w:val="center"/>
          </w:tcPr>
          <w:p>
            <w:pPr>
              <w:spacing w:beforeAutospacing="true" w:afterAutospacing="true"/>
              <w:jc w:val="left"/>
            </w:pPr>
            <w:r>
              <w:rPr>
                <w:rFonts w:ascii="Calibri" w:hAnsi="Calibri"/>
                <w:color w:val="000000"/>
                <w:sz w:val="22"/>
              </w:rPr>
              <w:t xml:space="preserve">Affordable Housing</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Direct Financial Assistance to Homebuyers</w:t>
            </w:r>
          </w:p>
        </w:tc>
        <w:tc>
          <w:tcPr>
            <w:vAlign w:val="center"/>
          </w:tcPr>
          <w:p>
            <w:pPr>
              <w:spacing w:beforeAutospacing="true" w:afterAutospacing="true"/>
              <w:jc w:val="left"/>
            </w:pPr>
            <w:r>
              <w:rPr>
                <w:rFonts w:ascii="Calibri" w:hAnsi="Calibri"/>
                <w:color w:val="000000"/>
                <w:sz w:val="22"/>
              </w:rPr>
              <w:t xml:space="preserve">Households Assisted</w:t>
            </w:r>
          </w:p>
        </w:tc>
        <w:tc>
          <w:tcPr>
            <w:vAlign w:val="center"/>
          </w:tcPr>
          <w:p>
            <w:pPr>
              <w:spacing w:beforeAutospacing="true" w:afterAutospacing="true"/>
              <w:jc w:val="left"/>
            </w:pPr>
            <w:r>
              <w:rPr>
                <w:rFonts w:ascii="Calibri" w:hAnsi="Calibri"/>
                <w:color w:val="000000"/>
                <w:sz w:val="22"/>
              </w:rPr>
              <w:t xml:space="preserve">250</w:t>
            </w:r>
          </w:p>
        </w:tc>
        <w:tc>
          <w:tcPr>
            <w:vAlign w:val="center"/>
          </w:tcPr>
          <w:p>
            <w:pPr>
              <w:spacing w:beforeAutospacing="true" w:afterAutospacing="true"/>
              <w:jc w:val="left"/>
            </w:pPr>
            <w:r>
              <w:rPr>
                <w:rFonts w:ascii="Calibri" w:hAnsi="Calibri"/>
                <w:color w:val="000000"/>
                <w:sz w:val="22"/>
              </w:rPr>
              <w:t xml:space="preserve">43</w:t>
            </w:r>
          </w:p>
        </w:tc>
        <w:tc>
          <w:tcPr>
            <w:vAlign w:val="center"/>
          </w:tcPr>
          <w:p>
            <w:pPr>
              <w:spacing w:beforeAutospacing="true" w:afterAutospacing="true"/>
              <w:jc w:val="left"/>
            </w:pPr>
            <w:r>
              <w:rPr>
                <w:rFonts w:ascii="Calibri" w:hAnsi="Calibri"/>
                <w:color w:val="000000"/>
                <w:sz w:val="22"/>
              </w:rPr>
              <w:t xml:space="preserve">        17.20%</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r>
      <w:tr>
        <w:trPr>
          <w:cantSplit w:val="true"/>
        </w:trPr>
        <w:tc>
          <w:tcPr>
            <w:vAlign w:val="center"/>
          </w:tcPr>
          <w:p>
            <w:pPr>
              <w:spacing w:beforeAutospacing="true" w:afterAutospacing="true"/>
              <w:jc w:val="left"/>
            </w:pPr>
            <w:r>
              <w:rPr>
                <w:rFonts w:ascii="Calibri" w:hAnsi="Calibri"/>
                <w:color w:val="000000"/>
                <w:sz w:val="22"/>
              </w:rPr>
              <w:t xml:space="preserve">Collaborate with CMHA on public housing activities</w:t>
            </w:r>
          </w:p>
        </w:tc>
        <w:tc>
          <w:tcPr>
            <w:vAlign w:val="center"/>
          </w:tcPr>
          <w:p>
            <w:pPr>
              <w:spacing w:beforeAutospacing="true" w:afterAutospacing="true"/>
              <w:jc w:val="left"/>
            </w:pPr>
            <w:r>
              <w:rPr>
                <w:rFonts w:ascii="Calibri" w:hAnsi="Calibri"/>
                <w:color w:val="000000"/>
                <w:sz w:val="22"/>
              </w:rPr>
              <w:t xml:space="preserve">Public Housing</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Other</w:t>
            </w:r>
          </w:p>
        </w:tc>
        <w:tc>
          <w:tcPr>
            <w:vAlign w:val="center"/>
          </w:tcPr>
          <w:p>
            <w:pPr>
              <w:spacing w:beforeAutospacing="true" w:afterAutospacing="true"/>
              <w:jc w:val="left"/>
            </w:pPr>
            <w:r>
              <w:rPr>
                <w:rFonts w:ascii="Calibri" w:hAnsi="Calibri"/>
                <w:color w:val="000000"/>
                <w:sz w:val="22"/>
              </w:rPr>
              <w:t xml:space="preserve">Other</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1</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0.00%</w:t>
            </w:r>
          </w:p>
        </w:tc>
      </w:tr>
      <w:tr>
        <w:trPr>
          <w:cantSplit w:val="true"/>
        </w:trPr>
        <w:tc>
          <w:tcPr>
            <w:vAlign w:val="center"/>
          </w:tcPr>
          <w:p>
            <w:pPr>
              <w:spacing w:beforeAutospacing="true" w:afterAutospacing="true"/>
              <w:jc w:val="left"/>
            </w:pPr>
            <w:r>
              <w:rPr>
                <w:rFonts w:ascii="Calibri" w:hAnsi="Calibri"/>
                <w:color w:val="000000"/>
                <w:sz w:val="22"/>
              </w:rPr>
              <w:t xml:space="preserve">Decrease the incidence of STIs</w:t>
            </w:r>
          </w:p>
        </w:tc>
        <w:tc>
          <w:tcPr>
            <w:vAlign w:val="center"/>
          </w:tcPr>
          <w:p>
            <w:pPr>
              <w:spacing w:beforeAutospacing="true" w:afterAutospacing="true"/>
              <w:jc w:val="left"/>
            </w:pPr>
            <w:r>
              <w:rPr>
                <w:rFonts w:ascii="Calibri" w:hAnsi="Calibri"/>
                <w:color w:val="000000"/>
                <w:sz w:val="22"/>
              </w:rPr>
              <w:t xml:space="preserve">Non-Homeless Special Needs</w:t>
            </w:r>
            <w:r>
              <w:rPr>
                <w:rFonts w:ascii="Calibri" w:hAnsi="Calibri"/>
                <w:color w:val="000000"/>
                <w:sz w:val="22"/>
              </w:rPr>
              <w:br/>
              <w:t xml:space="preserve"/>
            </w:r>
            <w:r>
              <w:rPr>
                <w:rFonts w:ascii="Calibri" w:hAnsi="Calibri"/>
                <w:color w:val="000000"/>
                <w:sz w:val="22"/>
              </w:rPr>
              <w:t xml:space="preserve">Public Health</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Public service activities other than Low/Moderate Income Housing Benefit</w:t>
            </w:r>
          </w:p>
        </w:tc>
        <w:tc>
          <w:tcPr>
            <w:vAlign w:val="center"/>
          </w:tcPr>
          <w:p>
            <w:pPr>
              <w:spacing w:beforeAutospacing="true" w:afterAutospacing="true"/>
              <w:jc w:val="left"/>
            </w:pPr>
            <w:r>
              <w:rPr>
                <w:rFonts w:ascii="Calibri" w:hAnsi="Calibri"/>
                <w:color w:val="000000"/>
                <w:sz w:val="22"/>
              </w:rPr>
              <w:t xml:space="preserve">Persons Assisted</w:t>
            </w:r>
          </w:p>
        </w:tc>
        <w:tc>
          <w:tcPr>
            <w:vAlign w:val="center"/>
          </w:tcPr>
          <w:p>
            <w:pPr>
              <w:spacing w:beforeAutospacing="true" w:afterAutospacing="true"/>
              <w:jc w:val="left"/>
            </w:pPr>
            <w:r>
              <w:rPr>
                <w:rFonts w:ascii="Calibri" w:hAnsi="Calibri"/>
                <w:color w:val="000000"/>
                <w:sz w:val="22"/>
              </w:rPr>
              <w:t xml:space="preserve">6500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0.00%</w:t>
            </w:r>
          </w:p>
        </w:tc>
        <w:tc>
          <w:tcPr>
            <w:vAlign w:val="center"/>
          </w:tcPr>
          <w:p>
            <w:pPr>
              <w:spacing w:beforeAutospacing="true" w:afterAutospacing="true"/>
              <w:jc w:val="left"/>
            </w:pPr>
            <w:r>
              <w:rPr>
                <w:rFonts w:ascii="Calibri" w:hAnsi="Calibri"/>
                <w:color w:val="000000"/>
                <w:sz w:val="22"/>
              </w:rPr>
              <w:t xml:space="preserve">1300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0.00%</w:t>
            </w:r>
          </w:p>
        </w:tc>
      </w:tr>
      <w:tr>
        <w:trPr>
          <w:cantSplit w:val="true"/>
        </w:trPr>
        <w:tc>
          <w:tcPr>
            <w:vAlign w:val="center"/>
          </w:tcPr>
          <w:p>
            <w:pPr>
              <w:spacing w:beforeAutospacing="true" w:afterAutospacing="true"/>
              <w:jc w:val="left"/>
            </w:pPr>
            <w:r>
              <w:rPr>
                <w:rFonts w:ascii="Calibri" w:hAnsi="Calibri"/>
                <w:color w:val="000000"/>
                <w:sz w:val="22"/>
              </w:rPr>
              <w:t xml:space="preserve">Ensure equal access to housing</w:t>
            </w:r>
          </w:p>
        </w:tc>
        <w:tc>
          <w:tcPr>
            <w:vAlign w:val="center"/>
          </w:tcPr>
          <w:p>
            <w:pPr>
              <w:spacing w:beforeAutospacing="true" w:afterAutospacing="true"/>
              <w:jc w:val="left"/>
            </w:pPr>
            <w:r>
              <w:rPr>
                <w:rFonts w:ascii="Calibri" w:hAnsi="Calibri"/>
                <w:color w:val="000000"/>
                <w:sz w:val="22"/>
              </w:rPr>
              <w:t xml:space="preserve">Affordable Housing</w:t>
            </w:r>
            <w:r>
              <w:rPr>
                <w:rFonts w:ascii="Calibri" w:hAnsi="Calibri"/>
                <w:color w:val="000000"/>
                <w:sz w:val="22"/>
              </w:rPr>
              <w:br/>
              <w:t xml:space="preserve"/>
            </w:r>
            <w:r>
              <w:rPr>
                <w:rFonts w:ascii="Calibri" w:hAnsi="Calibri"/>
                <w:color w:val="000000"/>
                <w:sz w:val="22"/>
              </w:rPr>
              <w:t xml:space="preserve">Public Housing</w:t>
            </w:r>
            <w:r>
              <w:rPr>
                <w:rFonts w:ascii="Calibri" w:hAnsi="Calibri"/>
                <w:color w:val="000000"/>
                <w:sz w:val="22"/>
              </w:rPr>
              <w:br/>
              <w:t xml:space="preserve"/>
            </w:r>
            <w:r>
              <w:rPr>
                <w:rFonts w:ascii="Calibri" w:hAnsi="Calibri"/>
                <w:color w:val="000000"/>
                <w:sz w:val="22"/>
              </w:rPr>
              <w:t xml:space="preserve">Fair Housing</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Public service activities other than Low/Moderate Income Housing Benefit</w:t>
            </w:r>
          </w:p>
        </w:tc>
        <w:tc>
          <w:tcPr>
            <w:vAlign w:val="center"/>
          </w:tcPr>
          <w:p>
            <w:pPr>
              <w:spacing w:beforeAutospacing="true" w:afterAutospacing="true"/>
              <w:jc w:val="left"/>
            </w:pPr>
            <w:r>
              <w:rPr>
                <w:rFonts w:ascii="Calibri" w:hAnsi="Calibri"/>
                <w:color w:val="000000"/>
                <w:sz w:val="22"/>
              </w:rPr>
              <w:t xml:space="preserve">Persons Assisted</w:t>
            </w:r>
          </w:p>
        </w:tc>
        <w:tc>
          <w:tcPr>
            <w:vAlign w:val="center"/>
          </w:tcPr>
          <w:p>
            <w:pPr>
              <w:spacing w:beforeAutospacing="true" w:afterAutospacing="true"/>
              <w:jc w:val="left"/>
            </w:pPr>
            <w:r>
              <w:rPr>
                <w:rFonts w:ascii="Calibri" w:hAnsi="Calibri"/>
                <w:color w:val="000000"/>
                <w:sz w:val="22"/>
              </w:rPr>
              <w:t xml:space="preserve">250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0.00%</w:t>
            </w:r>
          </w:p>
        </w:tc>
        <w:tc>
          <w:tcPr>
            <w:vAlign w:val="center"/>
          </w:tcPr>
          <w:p>
            <w:pPr>
              <w:spacing w:beforeAutospacing="true" w:afterAutospacing="true"/>
              <w:jc w:val="left"/>
            </w:pPr>
            <w:r>
              <w:rPr>
                <w:rFonts w:ascii="Calibri" w:hAnsi="Calibri"/>
                <w:color w:val="000000"/>
                <w:sz w:val="22"/>
              </w:rPr>
              <w:t xml:space="preserve">1000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0.00%</w:t>
            </w:r>
          </w:p>
        </w:tc>
      </w:tr>
      <w:tr>
        <w:trPr>
          <w:cantSplit w:val="true"/>
        </w:trPr>
        <w:tc>
          <w:tcPr>
            <w:vAlign w:val="center"/>
          </w:tcPr>
          <w:p>
            <w:pPr>
              <w:spacing w:beforeAutospacing="true" w:afterAutospacing="true"/>
              <w:jc w:val="left"/>
            </w:pPr>
            <w:r>
              <w:rPr>
                <w:rFonts w:ascii="Calibri" w:hAnsi="Calibri"/>
                <w:color w:val="000000"/>
                <w:sz w:val="22"/>
              </w:rPr>
              <w:t xml:space="preserve">Ensure safe and sanitary property conditions</w:t>
            </w:r>
          </w:p>
        </w:tc>
        <w:tc>
          <w:tcPr>
            <w:vAlign w:val="center"/>
          </w:tcPr>
          <w:p>
            <w:pPr>
              <w:spacing w:beforeAutospacing="true" w:afterAutospacing="true"/>
              <w:jc w:val="left"/>
            </w:pPr>
            <w:r>
              <w:rPr>
                <w:rFonts w:ascii="Calibri" w:hAnsi="Calibri"/>
                <w:color w:val="000000"/>
                <w:sz w:val="22"/>
              </w:rPr>
              <w:t xml:space="preserve">Non-Housing Community Development</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Homeowner Housing Rehabilitated</w:t>
            </w:r>
          </w:p>
        </w:tc>
        <w:tc>
          <w:tcPr>
            <w:vAlign w:val="center"/>
          </w:tcPr>
          <w:p>
            <w:pPr>
              <w:spacing w:beforeAutospacing="true" w:afterAutospacing="true"/>
              <w:jc w:val="left"/>
            </w:pPr>
            <w:r>
              <w:rPr>
                <w:rFonts w:ascii="Calibri" w:hAnsi="Calibri"/>
                <w:color w:val="000000"/>
                <w:sz w:val="22"/>
              </w:rPr>
              <w:t xml:space="preserve">Household Housing Unit</w:t>
            </w:r>
          </w:p>
        </w:tc>
        <w:tc>
          <w:tcPr>
            <w:vAlign w:val="center"/>
          </w:tcPr>
          <w:p>
            <w:pPr>
              <w:spacing w:beforeAutospacing="true" w:afterAutospacing="true"/>
              <w:jc w:val="left"/>
            </w:pPr>
            <w:r>
              <w:rPr>
                <w:rFonts w:ascii="Calibri" w:hAnsi="Calibri"/>
                <w:color w:val="000000"/>
                <w:sz w:val="22"/>
              </w:rPr>
              <w:t xml:space="preserve">3500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0.00%</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r>
      <w:tr>
        <w:trPr>
          <w:cantSplit w:val="true"/>
        </w:trPr>
        <w:tc>
          <w:tcPr>
            <w:vAlign w:val="center"/>
          </w:tcPr>
          <w:p>
            <w:pPr>
              <w:spacing w:beforeAutospacing="true" w:afterAutospacing="true"/>
              <w:jc w:val="left"/>
            </w:pPr>
            <w:r>
              <w:rPr>
                <w:rFonts w:ascii="Calibri" w:hAnsi="Calibri"/>
                <w:color w:val="000000"/>
                <w:sz w:val="22"/>
              </w:rPr>
              <w:t xml:space="preserve">Ensure safe and sanitary property conditions</w:t>
            </w:r>
          </w:p>
        </w:tc>
        <w:tc>
          <w:tcPr>
            <w:vAlign w:val="center"/>
          </w:tcPr>
          <w:p>
            <w:pPr>
              <w:spacing w:beforeAutospacing="true" w:afterAutospacing="true"/>
              <w:jc w:val="left"/>
            </w:pPr>
            <w:r>
              <w:rPr>
                <w:rFonts w:ascii="Calibri" w:hAnsi="Calibri"/>
                <w:color w:val="000000"/>
                <w:sz w:val="22"/>
              </w:rPr>
              <w:t xml:space="preserve">Non-Housing Community Development</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Housing Code Enforcement/Foreclosed Property Care</w:t>
            </w:r>
          </w:p>
        </w:tc>
        <w:tc>
          <w:tcPr>
            <w:vAlign w:val="center"/>
          </w:tcPr>
          <w:p>
            <w:pPr>
              <w:spacing w:beforeAutospacing="true" w:afterAutospacing="true"/>
              <w:jc w:val="left"/>
            </w:pPr>
            <w:r>
              <w:rPr>
                <w:rFonts w:ascii="Calibri" w:hAnsi="Calibri"/>
                <w:color w:val="000000"/>
                <w:sz w:val="22"/>
              </w:rPr>
              <w:t xml:space="preserve">Household Housing Unit</w:t>
            </w:r>
          </w:p>
        </w:tc>
        <w:tc>
          <w:tcPr>
            <w:vAlign w:val="center"/>
          </w:tcPr>
          <w:p>
            <w:pPr>
              <w:spacing w:beforeAutospacing="true" w:afterAutospacing="true"/>
              <w:jc w:val="left"/>
            </w:pPr>
            <w:r>
              <w:rPr>
                <w:rFonts w:ascii="Calibri" w:hAnsi="Calibri"/>
                <w:color w:val="000000"/>
                <w:sz w:val="22"/>
              </w:rPr>
              <w:t xml:space="preserve">16600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0.00%</w:t>
            </w:r>
          </w:p>
        </w:tc>
        <w:tc>
          <w:tcPr>
            <w:vAlign w:val="center"/>
          </w:tcPr>
          <w:p>
            <w:pPr>
              <w:spacing w:beforeAutospacing="true" w:afterAutospacing="true"/>
              <w:jc w:val="left"/>
            </w:pPr>
            <w:r>
              <w:rPr>
                <w:rFonts w:ascii="Calibri" w:hAnsi="Calibri"/>
                <w:color w:val="000000"/>
                <w:sz w:val="22"/>
              </w:rPr>
              <w:t xml:space="preserve">3320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0.00%</w:t>
            </w:r>
          </w:p>
        </w:tc>
      </w:tr>
      <w:tr>
        <w:trPr>
          <w:cantSplit w:val="true"/>
        </w:trPr>
        <w:tc>
          <w:tcPr>
            <w:vAlign w:val="center"/>
          </w:tcPr>
          <w:p>
            <w:pPr>
              <w:spacing w:beforeAutospacing="true" w:afterAutospacing="true"/>
              <w:jc w:val="left"/>
            </w:pPr>
            <w:r>
              <w:rPr>
                <w:rFonts w:ascii="Calibri" w:hAnsi="Calibri"/>
                <w:color w:val="000000"/>
                <w:sz w:val="22"/>
              </w:rPr>
              <w:t xml:space="preserve">Foster business expansions in areas of need</w:t>
            </w:r>
          </w:p>
        </w:tc>
        <w:tc>
          <w:tcPr>
            <w:vAlign w:val="center"/>
          </w:tcPr>
          <w:p>
            <w:pPr>
              <w:spacing w:beforeAutospacing="true" w:afterAutospacing="true"/>
              <w:jc w:val="left"/>
            </w:pPr>
            <w:r>
              <w:rPr>
                <w:rFonts w:ascii="Calibri" w:hAnsi="Calibri"/>
                <w:color w:val="000000"/>
                <w:sz w:val="22"/>
              </w:rPr>
              <w:t xml:space="preserve">Non-Housing Community Development</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Facade treatment/business building rehabilitation</w:t>
            </w:r>
          </w:p>
        </w:tc>
        <w:tc>
          <w:tcPr>
            <w:vAlign w:val="center"/>
          </w:tcPr>
          <w:p>
            <w:pPr>
              <w:spacing w:beforeAutospacing="true" w:afterAutospacing="true"/>
              <w:jc w:val="left"/>
            </w:pPr>
            <w:r>
              <w:rPr>
                <w:rFonts w:ascii="Calibri" w:hAnsi="Calibri"/>
                <w:color w:val="000000"/>
                <w:sz w:val="22"/>
              </w:rPr>
              <w:t xml:space="preserve">Business</w:t>
            </w:r>
          </w:p>
        </w:tc>
        <w:tc>
          <w:tcPr>
            <w:vAlign w:val="center"/>
          </w:tcPr>
          <w:p>
            <w:pPr>
              <w:spacing w:beforeAutospacing="true" w:afterAutospacing="true"/>
              <w:jc w:val="left"/>
            </w:pPr>
            <w:r>
              <w:rPr>
                <w:rFonts w:ascii="Calibri" w:hAnsi="Calibri"/>
                <w:color w:val="000000"/>
                <w:sz w:val="22"/>
              </w:rPr>
              <w:t xml:space="preserve">55</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0.00%</w:t>
            </w:r>
          </w:p>
        </w:tc>
        <w:tc>
          <w:tcPr>
            <w:vAlign w:val="center"/>
          </w:tcPr>
          <w:p>
            <w:pPr>
              <w:spacing w:beforeAutospacing="true" w:afterAutospacing="true"/>
              <w:jc w:val="left"/>
            </w:pPr>
            <w:r>
              <w:rPr>
                <w:rFonts w:ascii="Calibri" w:hAnsi="Calibri"/>
                <w:color w:val="000000"/>
                <w:sz w:val="22"/>
              </w:rPr>
              <w:t xml:space="preserve">11</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0.00%</w:t>
            </w:r>
          </w:p>
        </w:tc>
      </w:tr>
      <w:tr>
        <w:trPr>
          <w:cantSplit w:val="true"/>
        </w:trPr>
        <w:tc>
          <w:tcPr>
            <w:vAlign w:val="center"/>
          </w:tcPr>
          <w:p>
            <w:pPr>
              <w:spacing w:beforeAutospacing="true" w:afterAutospacing="true"/>
              <w:jc w:val="left"/>
            </w:pPr>
            <w:r>
              <w:rPr>
                <w:rFonts w:ascii="Calibri" w:hAnsi="Calibri"/>
                <w:color w:val="000000"/>
                <w:sz w:val="22"/>
              </w:rPr>
              <w:t xml:space="preserve">Foster business expansions in areas of need</w:t>
            </w:r>
          </w:p>
        </w:tc>
        <w:tc>
          <w:tcPr>
            <w:vAlign w:val="center"/>
          </w:tcPr>
          <w:p>
            <w:pPr>
              <w:spacing w:beforeAutospacing="true" w:afterAutospacing="true"/>
              <w:jc w:val="left"/>
            </w:pPr>
            <w:r>
              <w:rPr>
                <w:rFonts w:ascii="Calibri" w:hAnsi="Calibri"/>
                <w:color w:val="000000"/>
                <w:sz w:val="22"/>
              </w:rPr>
              <w:t xml:space="preserve">Non-Housing Community Development</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Jobs created/retained</w:t>
            </w:r>
          </w:p>
        </w:tc>
        <w:tc>
          <w:tcPr>
            <w:vAlign w:val="center"/>
          </w:tcPr>
          <w:p>
            <w:pPr>
              <w:spacing w:beforeAutospacing="true" w:afterAutospacing="true"/>
              <w:jc w:val="left"/>
            </w:pPr>
            <w:r>
              <w:rPr>
                <w:rFonts w:ascii="Calibri" w:hAnsi="Calibri"/>
                <w:color w:val="000000"/>
                <w:sz w:val="22"/>
              </w:rPr>
              <w:t xml:space="preserve">Jobs</w:t>
            </w:r>
          </w:p>
        </w:tc>
        <w:tc>
          <w:tcPr>
            <w:vAlign w:val="center"/>
          </w:tcPr>
          <w:p>
            <w:pPr>
              <w:spacing w:beforeAutospacing="true" w:afterAutospacing="true"/>
              <w:jc w:val="left"/>
            </w:pPr>
            <w:r>
              <w:rPr>
                <w:rFonts w:ascii="Calibri" w:hAnsi="Calibri"/>
                <w:color w:val="000000"/>
                <w:sz w:val="22"/>
              </w:rPr>
              <w:t xml:space="preserve">80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0.00%</w:t>
            </w:r>
          </w:p>
        </w:tc>
        <w:tc>
          <w:tcPr>
            <w:vAlign w:val="center"/>
          </w:tcPr>
          <w:p>
            <w:pPr>
              <w:spacing w:beforeAutospacing="true" w:afterAutospacing="true"/>
              <w:jc w:val="left"/>
            </w:pPr>
            <w:r>
              <w:rPr>
                <w:rFonts w:ascii="Calibri" w:hAnsi="Calibri"/>
                <w:color w:val="000000"/>
                <w:sz w:val="22"/>
              </w:rPr>
              <w:t xml:space="preserve">35</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0.00%</w:t>
            </w:r>
          </w:p>
        </w:tc>
      </w:tr>
      <w:tr>
        <w:trPr>
          <w:cantSplit w:val="true"/>
        </w:trPr>
        <w:tc>
          <w:tcPr>
            <w:vAlign w:val="center"/>
          </w:tcPr>
          <w:p>
            <w:pPr>
              <w:spacing w:beforeAutospacing="true" w:afterAutospacing="true"/>
              <w:jc w:val="left"/>
            </w:pPr>
            <w:r>
              <w:rPr>
                <w:rFonts w:ascii="Calibri" w:hAnsi="Calibri"/>
                <w:color w:val="000000"/>
                <w:sz w:val="22"/>
              </w:rPr>
              <w:t xml:space="preserve">Foster business expansions in areas of need</w:t>
            </w:r>
          </w:p>
        </w:tc>
        <w:tc>
          <w:tcPr>
            <w:vAlign w:val="center"/>
          </w:tcPr>
          <w:p>
            <w:pPr>
              <w:spacing w:beforeAutospacing="true" w:afterAutospacing="true"/>
              <w:jc w:val="left"/>
            </w:pPr>
            <w:r>
              <w:rPr>
                <w:rFonts w:ascii="Calibri" w:hAnsi="Calibri"/>
                <w:color w:val="000000"/>
                <w:sz w:val="22"/>
              </w:rPr>
              <w:t xml:space="preserve">Non-Housing Community Development</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Businesses assisted</w:t>
            </w:r>
          </w:p>
        </w:tc>
        <w:tc>
          <w:tcPr>
            <w:vAlign w:val="center"/>
          </w:tcPr>
          <w:p>
            <w:pPr>
              <w:spacing w:beforeAutospacing="true" w:afterAutospacing="true"/>
              <w:jc w:val="left"/>
            </w:pPr>
            <w:r>
              <w:rPr>
                <w:rFonts w:ascii="Calibri" w:hAnsi="Calibri"/>
                <w:color w:val="000000"/>
                <w:sz w:val="22"/>
              </w:rPr>
              <w:t xml:space="preserve">Businesses Assisted</w:t>
            </w:r>
          </w:p>
        </w:tc>
        <w:tc>
          <w:tcPr>
            <w:vAlign w:val="center"/>
          </w:tcPr>
          <w:p>
            <w:pPr>
              <w:spacing w:beforeAutospacing="true" w:afterAutospacing="true"/>
              <w:jc w:val="left"/>
            </w:pPr>
            <w:r>
              <w:rPr>
                <w:rFonts w:ascii="Calibri" w:hAnsi="Calibri"/>
                <w:color w:val="000000"/>
                <w:sz w:val="22"/>
              </w:rPr>
              <w:t xml:space="preserve">75</w:t>
            </w:r>
          </w:p>
        </w:tc>
        <w:tc>
          <w:tcPr>
            <w:vAlign w:val="center"/>
          </w:tcPr>
          <w:p>
            <w:pPr>
              <w:spacing w:beforeAutospacing="true" w:afterAutospacing="true"/>
              <w:jc w:val="left"/>
            </w:pPr>
            <w:r>
              <w:rPr>
                <w:rFonts w:ascii="Calibri" w:hAnsi="Calibri"/>
                <w:color w:val="000000"/>
                <w:sz w:val="22"/>
              </w:rPr>
              <w:t xml:space="preserve">173</w:t>
            </w:r>
          </w:p>
        </w:tc>
        <w:tc>
          <w:tcPr>
            <w:vAlign w:val="center"/>
          </w:tcPr>
          <w:p>
            <w:pPr>
              <w:spacing w:beforeAutospacing="true" w:afterAutospacing="true"/>
              <w:jc w:val="left"/>
            </w:pPr>
            <w:r>
              <w:rPr>
                <w:rFonts w:ascii="Calibri" w:hAnsi="Calibri"/>
                <w:color w:val="000000"/>
                <w:sz w:val="22"/>
              </w:rPr>
              <w:t xml:space="preserve">       230.67%</w:t>
            </w:r>
          </w:p>
        </w:tc>
        <w:tc>
          <w:tcPr>
            <w:vAlign w:val="center"/>
          </w:tcPr>
          <w:p>
            <w:pPr>
              <w:spacing w:beforeAutospacing="true" w:afterAutospacing="true"/>
              <w:jc w:val="left"/>
            </w:pPr>
            <w:r>
              <w:rPr>
                <w:rFonts w:ascii="Calibri" w:hAnsi="Calibri"/>
                <w:color w:val="000000"/>
                <w:sz w:val="22"/>
              </w:rPr>
              <w:t xml:space="preserve">185</w:t>
            </w:r>
          </w:p>
        </w:tc>
        <w:tc>
          <w:tcPr>
            <w:vAlign w:val="center"/>
          </w:tcPr>
          <w:p>
            <w:pPr>
              <w:spacing w:beforeAutospacing="true" w:afterAutospacing="true"/>
              <w:jc w:val="left"/>
            </w:pPr>
            <w:r>
              <w:rPr>
                <w:rFonts w:ascii="Calibri" w:hAnsi="Calibri"/>
                <w:color w:val="000000"/>
                <w:sz w:val="22"/>
              </w:rPr>
              <w:t xml:space="preserve">173</w:t>
            </w:r>
          </w:p>
        </w:tc>
        <w:tc>
          <w:tcPr>
            <w:vAlign w:val="center"/>
          </w:tcPr>
          <w:p>
            <w:pPr>
              <w:spacing w:beforeAutospacing="true" w:afterAutospacing="true"/>
              <w:jc w:val="left"/>
            </w:pPr>
            <w:r>
              <w:rPr>
                <w:rFonts w:ascii="Calibri" w:hAnsi="Calibri"/>
                <w:color w:val="000000"/>
                <w:sz w:val="22"/>
              </w:rPr>
              <w:t xml:space="preserve">        93.51%</w:t>
            </w:r>
          </w:p>
        </w:tc>
      </w:tr>
      <w:tr>
        <w:trPr>
          <w:cantSplit w:val="true"/>
        </w:trPr>
        <w:tc>
          <w:tcPr>
            <w:vAlign w:val="center"/>
          </w:tcPr>
          <w:p>
            <w:pPr>
              <w:spacing w:beforeAutospacing="true" w:afterAutospacing="true"/>
              <w:jc w:val="left"/>
            </w:pPr>
            <w:r>
              <w:rPr>
                <w:rFonts w:ascii="Calibri" w:hAnsi="Calibri"/>
                <w:color w:val="000000"/>
                <w:sz w:val="22"/>
              </w:rPr>
              <w:t xml:space="preserve">Foster development of skills for residents in need</w:t>
            </w:r>
          </w:p>
        </w:tc>
        <w:tc>
          <w:tcPr>
            <w:vAlign w:val="center"/>
          </w:tcPr>
          <w:p>
            <w:pPr>
              <w:spacing w:beforeAutospacing="true" w:afterAutospacing="true"/>
              <w:jc w:val="left"/>
            </w:pPr>
            <w:r>
              <w:rPr>
                <w:rFonts w:ascii="Calibri" w:hAnsi="Calibri"/>
                <w:color w:val="000000"/>
                <w:sz w:val="22"/>
              </w:rPr>
              <w:t xml:space="preserve">Non-Housing Community Development</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Other</w:t>
            </w:r>
          </w:p>
        </w:tc>
        <w:tc>
          <w:tcPr>
            <w:vAlign w:val="center"/>
          </w:tcPr>
          <w:p>
            <w:pPr>
              <w:spacing w:beforeAutospacing="true" w:afterAutospacing="true"/>
              <w:jc w:val="left"/>
            </w:pPr>
            <w:r>
              <w:rPr>
                <w:rFonts w:ascii="Calibri" w:hAnsi="Calibri"/>
                <w:color w:val="000000"/>
                <w:sz w:val="22"/>
              </w:rPr>
              <w:t xml:space="preserve">Other</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r>
      <w:tr>
        <w:trPr>
          <w:cantSplit w:val="true"/>
        </w:trPr>
        <w:tc>
          <w:tcPr>
            <w:vAlign w:val="center"/>
          </w:tcPr>
          <w:p>
            <w:pPr>
              <w:spacing w:beforeAutospacing="true" w:afterAutospacing="true"/>
              <w:jc w:val="left"/>
            </w:pPr>
            <w:r>
              <w:rPr>
                <w:rFonts w:ascii="Calibri" w:hAnsi="Calibri"/>
                <w:color w:val="000000"/>
                <w:sz w:val="22"/>
              </w:rPr>
              <w:t xml:space="preserve">Housing for groups ineligible for public housing</w:t>
            </w:r>
          </w:p>
        </w:tc>
        <w:tc>
          <w:tcPr>
            <w:vAlign w:val="center"/>
          </w:tcPr>
          <w:p>
            <w:pPr>
              <w:spacing w:beforeAutospacing="true" w:afterAutospacing="true"/>
              <w:jc w:val="left"/>
            </w:pPr>
            <w:r>
              <w:rPr>
                <w:rFonts w:ascii="Calibri" w:hAnsi="Calibri"/>
                <w:color w:val="000000"/>
                <w:sz w:val="22"/>
              </w:rPr>
              <w:t xml:space="preserve">Affordable Housing</w:t>
            </w:r>
            <w:r>
              <w:rPr>
                <w:rFonts w:ascii="Calibri" w:hAnsi="Calibri"/>
                <w:color w:val="000000"/>
                <w:sz w:val="22"/>
              </w:rPr>
              <w:br/>
              <w:t xml:space="preserve"/>
            </w:r>
            <w:r>
              <w:rPr>
                <w:rFonts w:ascii="Calibri" w:hAnsi="Calibri"/>
                <w:color w:val="000000"/>
                <w:sz w:val="22"/>
              </w:rPr>
              <w:t xml:space="preserve">Non-Homeless Special Needs</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Other</w:t>
            </w:r>
          </w:p>
        </w:tc>
        <w:tc>
          <w:tcPr>
            <w:vAlign w:val="center"/>
          </w:tcPr>
          <w:p>
            <w:pPr>
              <w:spacing w:beforeAutospacing="true" w:afterAutospacing="true"/>
              <w:jc w:val="left"/>
            </w:pPr>
            <w:r>
              <w:rPr>
                <w:rFonts w:ascii="Calibri" w:hAnsi="Calibri"/>
                <w:color w:val="000000"/>
                <w:sz w:val="22"/>
              </w:rPr>
              <w:t xml:space="preserve">Other</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r>
      <w:tr>
        <w:trPr>
          <w:cantSplit w:val="true"/>
        </w:trPr>
        <w:tc>
          <w:tcPr>
            <w:vAlign w:val="center"/>
          </w:tcPr>
          <w:p>
            <w:pPr>
              <w:spacing w:beforeAutospacing="true" w:afterAutospacing="true"/>
              <w:jc w:val="left"/>
            </w:pPr>
            <w:r>
              <w:rPr>
                <w:rFonts w:ascii="Calibri" w:hAnsi="Calibri"/>
                <w:color w:val="000000"/>
                <w:sz w:val="22"/>
              </w:rPr>
              <w:t xml:space="preserve">Identify locations for economic reinvestment</w:t>
            </w:r>
          </w:p>
        </w:tc>
        <w:tc>
          <w:tcPr>
            <w:vAlign w:val="center"/>
          </w:tcPr>
          <w:p>
            <w:pPr>
              <w:spacing w:beforeAutospacing="true" w:afterAutospacing="true"/>
              <w:jc w:val="left"/>
            </w:pPr>
            <w:r>
              <w:rPr>
                <w:rFonts w:ascii="Calibri" w:hAnsi="Calibri"/>
                <w:color w:val="000000"/>
                <w:sz w:val="22"/>
              </w:rPr>
              <w:t xml:space="preserve">Non-Housing Community Development</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Businesses assisted</w:t>
            </w:r>
          </w:p>
        </w:tc>
        <w:tc>
          <w:tcPr>
            <w:vAlign w:val="center"/>
          </w:tcPr>
          <w:p>
            <w:pPr>
              <w:spacing w:beforeAutospacing="true" w:afterAutospacing="true"/>
              <w:jc w:val="left"/>
            </w:pPr>
            <w:r>
              <w:rPr>
                <w:rFonts w:ascii="Calibri" w:hAnsi="Calibri"/>
                <w:color w:val="000000"/>
                <w:sz w:val="22"/>
              </w:rPr>
              <w:t xml:space="preserve">Businesses Assisted</w:t>
            </w:r>
          </w:p>
        </w:tc>
        <w:tc>
          <w:tcPr>
            <w:vAlign w:val="center"/>
          </w:tcPr>
          <w:p>
            <w:pPr>
              <w:spacing w:beforeAutospacing="true" w:afterAutospacing="true"/>
              <w:jc w:val="left"/>
            </w:pPr>
            <w:r>
              <w:rPr>
                <w:rFonts w:ascii="Calibri" w:hAnsi="Calibri"/>
                <w:color w:val="000000"/>
                <w:sz w:val="22"/>
              </w:rPr>
              <w:t xml:space="preserve">110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0.00%</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r>
      <w:tr>
        <w:trPr>
          <w:cantSplit w:val="true"/>
        </w:trPr>
        <w:tc>
          <w:tcPr>
            <w:vAlign w:val="center"/>
          </w:tcPr>
          <w:p>
            <w:pPr>
              <w:spacing w:beforeAutospacing="true" w:afterAutospacing="true"/>
              <w:jc w:val="left"/>
            </w:pPr>
            <w:r>
              <w:rPr>
                <w:rFonts w:ascii="Calibri" w:hAnsi="Calibri"/>
                <w:color w:val="000000"/>
                <w:sz w:val="22"/>
              </w:rPr>
              <w:t xml:space="preserve">Improve access to healthy food</w:t>
            </w:r>
          </w:p>
        </w:tc>
        <w:tc>
          <w:tcPr>
            <w:vAlign w:val="center"/>
          </w:tcPr>
          <w:p>
            <w:pPr>
              <w:spacing w:beforeAutospacing="true" w:afterAutospacing="true"/>
              <w:jc w:val="left"/>
            </w:pPr>
            <w:r>
              <w:rPr>
                <w:rFonts w:ascii="Calibri" w:hAnsi="Calibri"/>
                <w:color w:val="000000"/>
                <w:sz w:val="22"/>
              </w:rPr>
              <w:t xml:space="preserve">Non-Housing Community Development</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Other</w:t>
            </w:r>
          </w:p>
        </w:tc>
        <w:tc>
          <w:tcPr>
            <w:vAlign w:val="center"/>
          </w:tcPr>
          <w:p>
            <w:pPr>
              <w:spacing w:beforeAutospacing="true" w:afterAutospacing="true"/>
              <w:jc w:val="left"/>
            </w:pPr>
            <w:r>
              <w:rPr>
                <w:rFonts w:ascii="Calibri" w:hAnsi="Calibri"/>
                <w:color w:val="000000"/>
                <w:sz w:val="22"/>
              </w:rPr>
              <w:t xml:space="preserve">Other</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r>
      <w:tr>
        <w:trPr>
          <w:cantSplit w:val="true"/>
        </w:trPr>
        <w:tc>
          <w:tcPr>
            <w:vAlign w:val="center"/>
          </w:tcPr>
          <w:p>
            <w:pPr>
              <w:spacing w:beforeAutospacing="true" w:afterAutospacing="true"/>
              <w:jc w:val="left"/>
            </w:pPr>
            <w:r>
              <w:rPr>
                <w:rFonts w:ascii="Calibri" w:hAnsi="Calibri"/>
                <w:color w:val="000000"/>
                <w:sz w:val="22"/>
              </w:rPr>
              <w:t xml:space="preserve">Improve pedestrian accessibility</w:t>
            </w:r>
          </w:p>
        </w:tc>
        <w:tc>
          <w:tcPr>
            <w:vAlign w:val="center"/>
          </w:tcPr>
          <w:p>
            <w:pPr>
              <w:spacing w:beforeAutospacing="true" w:afterAutospacing="true"/>
              <w:jc w:val="left"/>
            </w:pPr>
            <w:r>
              <w:rPr>
                <w:rFonts w:ascii="Calibri" w:hAnsi="Calibri"/>
                <w:color w:val="000000"/>
                <w:sz w:val="22"/>
              </w:rPr>
              <w:t xml:space="preserve">Non-Housing Community Development</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Public Facility or Infrastructure Activities other than Low/Moderate Income Housing Benefit</w:t>
            </w:r>
          </w:p>
        </w:tc>
        <w:tc>
          <w:tcPr>
            <w:vAlign w:val="center"/>
          </w:tcPr>
          <w:p>
            <w:pPr>
              <w:spacing w:beforeAutospacing="true" w:afterAutospacing="true"/>
              <w:jc w:val="left"/>
            </w:pPr>
            <w:r>
              <w:rPr>
                <w:rFonts w:ascii="Calibri" w:hAnsi="Calibri"/>
                <w:color w:val="000000"/>
                <w:sz w:val="22"/>
              </w:rPr>
              <w:t xml:space="preserve">Persons Assisted</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3785</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3785</w:t>
            </w:r>
          </w:p>
        </w:tc>
        <w:tc>
          <w:tcPr>
            <w:vAlign w:val="center"/>
          </w:tcPr>
          <w:p>
            <w:pPr>
              <w:spacing w:beforeAutospacing="true" w:afterAutospacing="true"/>
              <w:jc w:val="left"/>
            </w:pPr>
            <w:r>
              <w:rPr>
                <w:rFonts w:ascii="Calibri" w:hAnsi="Calibri"/>
                <w:color w:val="000000"/>
                <w:sz w:val="22"/>
              </w:rPr>
              <w:t xml:space="preserve"> </w:t>
            </w:r>
          </w:p>
        </w:tc>
      </w:tr>
      <w:tr>
        <w:trPr>
          <w:cantSplit w:val="true"/>
        </w:trPr>
        <w:tc>
          <w:tcPr>
            <w:vAlign w:val="center"/>
          </w:tcPr>
          <w:p>
            <w:pPr>
              <w:spacing w:beforeAutospacing="true" w:afterAutospacing="true"/>
              <w:jc w:val="left"/>
            </w:pPr>
            <w:r>
              <w:rPr>
                <w:rFonts w:ascii="Calibri" w:hAnsi="Calibri"/>
                <w:color w:val="000000"/>
                <w:sz w:val="22"/>
              </w:rPr>
              <w:t xml:space="preserve">Improve pedestrian accessibility</w:t>
            </w:r>
          </w:p>
        </w:tc>
        <w:tc>
          <w:tcPr>
            <w:vAlign w:val="center"/>
          </w:tcPr>
          <w:p>
            <w:pPr>
              <w:spacing w:beforeAutospacing="true" w:afterAutospacing="true"/>
              <w:jc w:val="left"/>
            </w:pPr>
            <w:r>
              <w:rPr>
                <w:rFonts w:ascii="Calibri" w:hAnsi="Calibri"/>
                <w:color w:val="000000"/>
                <w:sz w:val="22"/>
              </w:rPr>
              <w:t xml:space="preserve">Non-Housing Community Development</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Other</w:t>
            </w:r>
          </w:p>
        </w:tc>
        <w:tc>
          <w:tcPr>
            <w:vAlign w:val="center"/>
          </w:tcPr>
          <w:p>
            <w:pPr>
              <w:spacing w:beforeAutospacing="true" w:afterAutospacing="true"/>
              <w:jc w:val="left"/>
            </w:pPr>
            <w:r>
              <w:rPr>
                <w:rFonts w:ascii="Calibri" w:hAnsi="Calibri"/>
                <w:color w:val="000000"/>
                <w:sz w:val="22"/>
              </w:rPr>
              <w:t xml:space="preserve">Other</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r>
      <w:tr>
        <w:trPr>
          <w:cantSplit w:val="true"/>
        </w:trPr>
        <w:tc>
          <w:tcPr>
            <w:vAlign w:val="center"/>
          </w:tcPr>
          <w:p>
            <w:pPr>
              <w:spacing w:beforeAutospacing="true" w:afterAutospacing="true"/>
              <w:jc w:val="left"/>
            </w:pPr>
            <w:r>
              <w:rPr>
                <w:rFonts w:ascii="Calibri" w:hAnsi="Calibri"/>
                <w:color w:val="000000"/>
                <w:sz w:val="22"/>
              </w:rPr>
              <w:t xml:space="preserve">Increase access to housing and emergency shelter</w:t>
            </w:r>
          </w:p>
        </w:tc>
        <w:tc>
          <w:tcPr>
            <w:vAlign w:val="center"/>
          </w:tcPr>
          <w:p>
            <w:pPr>
              <w:spacing w:beforeAutospacing="true" w:afterAutospacing="true"/>
              <w:jc w:val="left"/>
            </w:pPr>
            <w:r>
              <w:rPr>
                <w:rFonts w:ascii="Calibri" w:hAnsi="Calibri"/>
                <w:color w:val="000000"/>
                <w:sz w:val="22"/>
              </w:rPr>
              <w:t xml:space="preserve">Affordable Housing</w:t>
            </w:r>
            <w:r>
              <w:rPr>
                <w:rFonts w:ascii="Calibri" w:hAnsi="Calibri"/>
                <w:color w:val="000000"/>
                <w:sz w:val="22"/>
              </w:rPr>
              <w:br/>
              <w:t xml:space="preserve"/>
            </w:r>
            <w:r>
              <w:rPr>
                <w:rFonts w:ascii="Calibri" w:hAnsi="Calibri"/>
                <w:color w:val="000000"/>
                <w:sz w:val="22"/>
              </w:rPr>
              <w:t xml:space="preserve">Homeless</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Overnight/Emergency Shelter/Transitional Housing Beds added</w:t>
            </w:r>
          </w:p>
        </w:tc>
        <w:tc>
          <w:tcPr>
            <w:vAlign w:val="center"/>
          </w:tcPr>
          <w:p>
            <w:pPr>
              <w:spacing w:beforeAutospacing="true" w:afterAutospacing="true"/>
              <w:jc w:val="left"/>
            </w:pPr>
            <w:r>
              <w:rPr>
                <w:rFonts w:ascii="Calibri" w:hAnsi="Calibri"/>
                <w:color w:val="000000"/>
                <w:sz w:val="22"/>
              </w:rPr>
              <w:t xml:space="preserve">Beds</w:t>
            </w:r>
          </w:p>
        </w:tc>
        <w:tc>
          <w:tcPr>
            <w:vAlign w:val="center"/>
          </w:tcPr>
          <w:p>
            <w:pPr>
              <w:spacing w:beforeAutospacing="true" w:afterAutospacing="true"/>
              <w:jc w:val="left"/>
            </w:pPr>
            <w:r>
              <w:rPr>
                <w:rFonts w:ascii="Calibri" w:hAnsi="Calibri"/>
                <w:color w:val="000000"/>
                <w:sz w:val="22"/>
              </w:rPr>
              <w:t xml:space="preserve">22000</w:t>
            </w:r>
          </w:p>
        </w:tc>
        <w:tc>
          <w:tcPr>
            <w:vAlign w:val="center"/>
          </w:tcPr>
          <w:p>
            <w:pPr>
              <w:spacing w:beforeAutospacing="true" w:afterAutospacing="true"/>
              <w:jc w:val="left"/>
            </w:pPr>
            <w:r>
              <w:rPr>
                <w:rFonts w:ascii="Calibri" w:hAnsi="Calibri"/>
                <w:color w:val="000000"/>
                <w:sz w:val="22"/>
              </w:rPr>
              <w:t xml:space="preserve">133722</w:t>
            </w:r>
          </w:p>
        </w:tc>
        <w:tc>
          <w:tcPr>
            <w:vAlign w:val="center"/>
          </w:tcPr>
          <w:p>
            <w:pPr>
              <w:spacing w:beforeAutospacing="true" w:afterAutospacing="true"/>
              <w:jc w:val="left"/>
            </w:pPr>
            <w:r>
              <w:rPr>
                <w:rFonts w:ascii="Calibri" w:hAnsi="Calibri"/>
                <w:color w:val="000000"/>
                <w:sz w:val="22"/>
              </w:rPr>
              <w:t xml:space="preserve">       607.83%</w:t>
            </w:r>
          </w:p>
        </w:tc>
        <w:tc>
          <w:tcPr>
            <w:vAlign w:val="center"/>
          </w:tcPr>
          <w:p>
            <w:pPr>
              <w:spacing w:beforeAutospacing="true" w:afterAutospacing="true"/>
              <w:jc w:val="left"/>
            </w:pPr>
            <w:r>
              <w:rPr>
                <w:rFonts w:ascii="Calibri" w:hAnsi="Calibri"/>
                <w:color w:val="000000"/>
                <w:sz w:val="22"/>
              </w:rPr>
              <w:t xml:space="preserve">4000</w:t>
            </w:r>
          </w:p>
        </w:tc>
        <w:tc>
          <w:tcPr>
            <w:vAlign w:val="center"/>
          </w:tcPr>
          <w:p>
            <w:pPr>
              <w:spacing w:beforeAutospacing="true" w:afterAutospacing="true"/>
              <w:jc w:val="left"/>
            </w:pPr>
            <w:r>
              <w:rPr>
                <w:rFonts w:ascii="Calibri" w:hAnsi="Calibri"/>
                <w:color w:val="000000"/>
                <w:sz w:val="22"/>
              </w:rPr>
              <w:t xml:space="preserve">133722</w:t>
            </w:r>
          </w:p>
        </w:tc>
        <w:tc>
          <w:tcPr>
            <w:vAlign w:val="center"/>
          </w:tcPr>
          <w:p>
            <w:pPr>
              <w:spacing w:beforeAutospacing="true" w:afterAutospacing="true"/>
              <w:jc w:val="left"/>
            </w:pPr>
            <w:r>
              <w:rPr>
                <w:rFonts w:ascii="Calibri" w:hAnsi="Calibri"/>
                <w:color w:val="000000"/>
                <w:sz w:val="22"/>
              </w:rPr>
              <w:t xml:space="preserve">     3,343.05%</w:t>
            </w:r>
          </w:p>
        </w:tc>
      </w:tr>
      <w:tr>
        <w:trPr>
          <w:cantSplit w:val="true"/>
        </w:trPr>
        <w:tc>
          <w:tcPr>
            <w:vAlign w:val="center"/>
          </w:tcPr>
          <w:p>
            <w:pPr>
              <w:spacing w:beforeAutospacing="true" w:afterAutospacing="true"/>
              <w:jc w:val="left"/>
            </w:pPr>
            <w:r>
              <w:rPr>
                <w:rFonts w:ascii="Calibri" w:hAnsi="Calibri"/>
                <w:color w:val="000000"/>
                <w:sz w:val="22"/>
              </w:rPr>
              <w:t xml:space="preserve">Increase access to housing and emergency shelter</w:t>
            </w:r>
          </w:p>
        </w:tc>
        <w:tc>
          <w:tcPr>
            <w:vAlign w:val="center"/>
          </w:tcPr>
          <w:p>
            <w:pPr>
              <w:spacing w:beforeAutospacing="true" w:afterAutospacing="true"/>
              <w:jc w:val="left"/>
            </w:pPr>
            <w:r>
              <w:rPr>
                <w:rFonts w:ascii="Calibri" w:hAnsi="Calibri"/>
                <w:color w:val="000000"/>
                <w:sz w:val="22"/>
              </w:rPr>
              <w:t xml:space="preserve">Affordable Housing</w:t>
            </w:r>
            <w:r>
              <w:rPr>
                <w:rFonts w:ascii="Calibri" w:hAnsi="Calibri"/>
                <w:color w:val="000000"/>
                <w:sz w:val="22"/>
              </w:rPr>
              <w:br/>
              <w:t xml:space="preserve"/>
            </w:r>
            <w:r>
              <w:rPr>
                <w:rFonts w:ascii="Calibri" w:hAnsi="Calibri"/>
                <w:color w:val="000000"/>
                <w:sz w:val="22"/>
              </w:rPr>
              <w:t xml:space="preserve">Homeless</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Homelessness Prevention</w:t>
            </w:r>
          </w:p>
        </w:tc>
        <w:tc>
          <w:tcPr>
            <w:vAlign w:val="center"/>
          </w:tcPr>
          <w:p>
            <w:pPr>
              <w:spacing w:beforeAutospacing="true" w:afterAutospacing="true"/>
              <w:jc w:val="left"/>
            </w:pPr>
            <w:r>
              <w:rPr>
                <w:rFonts w:ascii="Calibri" w:hAnsi="Calibri"/>
                <w:color w:val="000000"/>
                <w:sz w:val="22"/>
              </w:rPr>
              <w:t xml:space="preserve">Persons Assisted</w:t>
            </w:r>
          </w:p>
        </w:tc>
        <w:tc>
          <w:tcPr>
            <w:vAlign w:val="center"/>
          </w:tcPr>
          <w:p>
            <w:pPr>
              <w:spacing w:beforeAutospacing="true" w:afterAutospacing="true"/>
              <w:jc w:val="left"/>
            </w:pPr>
            <w:r>
              <w:rPr>
                <w:rFonts w:ascii="Calibri" w:hAnsi="Calibri"/>
                <w:color w:val="000000"/>
                <w:sz w:val="22"/>
              </w:rPr>
              <w:t xml:space="preserve">1000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0.00%</w:t>
            </w:r>
          </w:p>
        </w:tc>
        <w:tc>
          <w:tcPr>
            <w:vAlign w:val="center"/>
          </w:tcPr>
          <w:p>
            <w:pPr>
              <w:spacing w:beforeAutospacing="true" w:afterAutospacing="true"/>
              <w:jc w:val="left"/>
            </w:pPr>
            <w:r>
              <w:rPr>
                <w:rFonts w:ascii="Calibri" w:hAnsi="Calibri"/>
                <w:color w:val="000000"/>
                <w:sz w:val="22"/>
              </w:rPr>
              <w:t xml:space="preserve">2000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0.00%</w:t>
            </w:r>
          </w:p>
        </w:tc>
      </w:tr>
      <w:tr>
        <w:trPr>
          <w:cantSplit w:val="true"/>
        </w:trPr>
        <w:tc>
          <w:tcPr>
            <w:vAlign w:val="center"/>
          </w:tcPr>
          <w:p>
            <w:pPr>
              <w:spacing w:beforeAutospacing="true" w:afterAutospacing="true"/>
              <w:jc w:val="left"/>
            </w:pPr>
            <w:r>
              <w:rPr>
                <w:rFonts w:ascii="Calibri" w:hAnsi="Calibri"/>
                <w:color w:val="000000"/>
                <w:sz w:val="22"/>
              </w:rPr>
              <w:t xml:space="preserve">Increase access to housing and emergency shelter</w:t>
            </w:r>
          </w:p>
        </w:tc>
        <w:tc>
          <w:tcPr>
            <w:vAlign w:val="center"/>
          </w:tcPr>
          <w:p>
            <w:pPr>
              <w:spacing w:beforeAutospacing="true" w:afterAutospacing="true"/>
              <w:jc w:val="left"/>
            </w:pPr>
            <w:r>
              <w:rPr>
                <w:rFonts w:ascii="Calibri" w:hAnsi="Calibri"/>
                <w:color w:val="000000"/>
                <w:sz w:val="22"/>
              </w:rPr>
              <w:t xml:space="preserve">Affordable Housing</w:t>
            </w:r>
            <w:r>
              <w:rPr>
                <w:rFonts w:ascii="Calibri" w:hAnsi="Calibri"/>
                <w:color w:val="000000"/>
                <w:sz w:val="22"/>
              </w:rPr>
              <w:br/>
              <w:t xml:space="preserve"/>
            </w:r>
            <w:r>
              <w:rPr>
                <w:rFonts w:ascii="Calibri" w:hAnsi="Calibri"/>
                <w:color w:val="000000"/>
                <w:sz w:val="22"/>
              </w:rPr>
              <w:t xml:space="preserve">Homeless</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Other</w:t>
            </w:r>
          </w:p>
        </w:tc>
        <w:tc>
          <w:tcPr>
            <w:vAlign w:val="center"/>
          </w:tcPr>
          <w:p>
            <w:pPr>
              <w:spacing w:beforeAutospacing="true" w:afterAutospacing="true"/>
              <w:jc w:val="left"/>
            </w:pPr>
            <w:r>
              <w:rPr>
                <w:rFonts w:ascii="Calibri" w:hAnsi="Calibri"/>
                <w:color w:val="000000"/>
                <w:sz w:val="22"/>
              </w:rPr>
              <w:t xml:space="preserve">Other</w:t>
            </w:r>
          </w:p>
        </w:tc>
        <w:tc>
          <w:tcPr>
            <w:vAlign w:val="center"/>
          </w:tcPr>
          <w:p>
            <w:pPr>
              <w:spacing w:beforeAutospacing="true" w:afterAutospacing="true"/>
              <w:jc w:val="left"/>
            </w:pPr>
            <w:r>
              <w:rPr>
                <w:rFonts w:ascii="Calibri" w:hAnsi="Calibri"/>
                <w:color w:val="000000"/>
                <w:sz w:val="22"/>
              </w:rPr>
              <w:t xml:space="preserve">10000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0.00%</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r>
      <w:tr>
        <w:trPr>
          <w:cantSplit w:val="true"/>
        </w:trPr>
        <w:tc>
          <w:tcPr>
            <w:vAlign w:val="center"/>
          </w:tcPr>
          <w:p>
            <w:pPr>
              <w:spacing w:beforeAutospacing="true" w:afterAutospacing="true"/>
              <w:jc w:val="left"/>
            </w:pPr>
            <w:r>
              <w:rPr>
                <w:rFonts w:ascii="Calibri" w:hAnsi="Calibri"/>
                <w:color w:val="000000"/>
                <w:sz w:val="22"/>
              </w:rPr>
              <w:t xml:space="preserve">Preserve and expand affordable housing</w:t>
            </w:r>
          </w:p>
        </w:tc>
        <w:tc>
          <w:tcPr>
            <w:vAlign w:val="center"/>
          </w:tcPr>
          <w:p>
            <w:pPr>
              <w:spacing w:beforeAutospacing="true" w:afterAutospacing="true"/>
              <w:jc w:val="left"/>
            </w:pPr>
            <w:r>
              <w:rPr>
                <w:rFonts w:ascii="Calibri" w:hAnsi="Calibri"/>
                <w:color w:val="000000"/>
                <w:sz w:val="22"/>
              </w:rPr>
              <w:t xml:space="preserve">Affordable Housing</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Rental units constructed</w:t>
            </w:r>
          </w:p>
        </w:tc>
        <w:tc>
          <w:tcPr>
            <w:vAlign w:val="center"/>
          </w:tcPr>
          <w:p>
            <w:pPr>
              <w:spacing w:beforeAutospacing="true" w:afterAutospacing="true"/>
              <w:jc w:val="left"/>
            </w:pPr>
            <w:r>
              <w:rPr>
                <w:rFonts w:ascii="Calibri" w:hAnsi="Calibri"/>
                <w:color w:val="000000"/>
                <w:sz w:val="22"/>
              </w:rPr>
              <w:t xml:space="preserve">Household Housing Unit</w:t>
            </w:r>
          </w:p>
        </w:tc>
        <w:tc>
          <w:tcPr>
            <w:vAlign w:val="center"/>
          </w:tcPr>
          <w:p>
            <w:pPr>
              <w:spacing w:beforeAutospacing="true" w:afterAutospacing="true"/>
              <w:jc w:val="left"/>
            </w:pPr>
            <w:r>
              <w:rPr>
                <w:rFonts w:ascii="Calibri" w:hAnsi="Calibri"/>
                <w:color w:val="000000"/>
                <w:sz w:val="22"/>
              </w:rPr>
              <w:t xml:space="preserve">1260</w:t>
            </w:r>
          </w:p>
        </w:tc>
        <w:tc>
          <w:tcPr>
            <w:vAlign w:val="center"/>
          </w:tcPr>
          <w:p>
            <w:pPr>
              <w:spacing w:beforeAutospacing="true" w:afterAutospacing="true"/>
              <w:jc w:val="left"/>
            </w:pPr>
            <w:r>
              <w:rPr>
                <w:rFonts w:ascii="Calibri" w:hAnsi="Calibri"/>
                <w:color w:val="000000"/>
                <w:sz w:val="22"/>
              </w:rPr>
              <w:t xml:space="preserve">127</w:t>
            </w:r>
          </w:p>
        </w:tc>
        <w:tc>
          <w:tcPr>
            <w:vAlign w:val="center"/>
          </w:tcPr>
          <w:p>
            <w:pPr>
              <w:spacing w:beforeAutospacing="true" w:afterAutospacing="true"/>
              <w:jc w:val="left"/>
            </w:pPr>
            <w:r>
              <w:rPr>
                <w:rFonts w:ascii="Calibri" w:hAnsi="Calibri"/>
                <w:color w:val="000000"/>
                <w:sz w:val="22"/>
              </w:rPr>
              <w:t xml:space="preserve">        10.08%</w:t>
            </w:r>
          </w:p>
        </w:tc>
        <w:tc>
          <w:tcPr>
            <w:vAlign w:val="center"/>
          </w:tcPr>
          <w:p>
            <w:pPr>
              <w:spacing w:beforeAutospacing="true" w:afterAutospacing="true"/>
              <w:jc w:val="left"/>
            </w:pPr>
            <w:r>
              <w:rPr>
                <w:rFonts w:ascii="Calibri" w:hAnsi="Calibri"/>
                <w:color w:val="000000"/>
                <w:sz w:val="22"/>
              </w:rPr>
              <w:t xml:space="preserve">140</w:t>
            </w:r>
          </w:p>
        </w:tc>
        <w:tc>
          <w:tcPr>
            <w:vAlign w:val="center"/>
          </w:tcPr>
          <w:p>
            <w:pPr>
              <w:spacing w:beforeAutospacing="true" w:afterAutospacing="true"/>
              <w:jc w:val="left"/>
            </w:pPr>
            <w:r>
              <w:rPr>
                <w:rFonts w:ascii="Calibri" w:hAnsi="Calibri"/>
                <w:color w:val="000000"/>
                <w:sz w:val="22"/>
              </w:rPr>
              <w:t xml:space="preserve">127</w:t>
            </w:r>
          </w:p>
        </w:tc>
        <w:tc>
          <w:tcPr>
            <w:vAlign w:val="center"/>
          </w:tcPr>
          <w:p>
            <w:pPr>
              <w:spacing w:beforeAutospacing="true" w:afterAutospacing="true"/>
              <w:jc w:val="left"/>
            </w:pPr>
            <w:r>
              <w:rPr>
                <w:rFonts w:ascii="Calibri" w:hAnsi="Calibri"/>
                <w:color w:val="000000"/>
                <w:sz w:val="22"/>
              </w:rPr>
              <w:t xml:space="preserve">        90.71%</w:t>
            </w:r>
          </w:p>
        </w:tc>
      </w:tr>
      <w:tr>
        <w:trPr>
          <w:cantSplit w:val="true"/>
        </w:trPr>
        <w:tc>
          <w:tcPr>
            <w:vAlign w:val="center"/>
          </w:tcPr>
          <w:p>
            <w:pPr>
              <w:spacing w:beforeAutospacing="true" w:afterAutospacing="true"/>
              <w:jc w:val="left"/>
            </w:pPr>
            <w:r>
              <w:rPr>
                <w:rFonts w:ascii="Calibri" w:hAnsi="Calibri"/>
                <w:color w:val="000000"/>
                <w:sz w:val="22"/>
              </w:rPr>
              <w:t xml:space="preserve">Preserve and expand affordable housing</w:t>
            </w:r>
          </w:p>
        </w:tc>
        <w:tc>
          <w:tcPr>
            <w:vAlign w:val="center"/>
          </w:tcPr>
          <w:p>
            <w:pPr>
              <w:spacing w:beforeAutospacing="true" w:afterAutospacing="true"/>
              <w:jc w:val="left"/>
            </w:pPr>
            <w:r>
              <w:rPr>
                <w:rFonts w:ascii="Calibri" w:hAnsi="Calibri"/>
                <w:color w:val="000000"/>
                <w:sz w:val="22"/>
              </w:rPr>
              <w:t xml:space="preserve">Affordable Housing</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Rental units rehabilitated</w:t>
            </w:r>
          </w:p>
        </w:tc>
        <w:tc>
          <w:tcPr>
            <w:vAlign w:val="center"/>
          </w:tcPr>
          <w:p>
            <w:pPr>
              <w:spacing w:beforeAutospacing="true" w:afterAutospacing="true"/>
              <w:jc w:val="left"/>
            </w:pPr>
            <w:r>
              <w:rPr>
                <w:rFonts w:ascii="Calibri" w:hAnsi="Calibri"/>
                <w:color w:val="000000"/>
                <w:sz w:val="22"/>
              </w:rPr>
              <w:t xml:space="preserve">Household Housing Unit</w:t>
            </w:r>
          </w:p>
        </w:tc>
        <w:tc>
          <w:tcPr>
            <w:vAlign w:val="center"/>
          </w:tcPr>
          <w:p>
            <w:pPr>
              <w:spacing w:beforeAutospacing="true" w:afterAutospacing="true"/>
              <w:jc w:val="left"/>
            </w:pPr>
            <w:r>
              <w:rPr>
                <w:rFonts w:ascii="Calibri" w:hAnsi="Calibri"/>
                <w:color w:val="000000"/>
                <w:sz w:val="22"/>
              </w:rPr>
              <w:t xml:space="preserve">685</w:t>
            </w:r>
          </w:p>
        </w:tc>
        <w:tc>
          <w:tcPr>
            <w:vAlign w:val="center"/>
          </w:tcPr>
          <w:p>
            <w:pPr>
              <w:spacing w:beforeAutospacing="true" w:afterAutospacing="true"/>
              <w:jc w:val="left"/>
            </w:pPr>
            <w:r>
              <w:rPr>
                <w:rFonts w:ascii="Calibri" w:hAnsi="Calibri"/>
                <w:color w:val="000000"/>
                <w:sz w:val="22"/>
              </w:rPr>
              <w:t xml:space="preserve">9</w:t>
            </w:r>
          </w:p>
        </w:tc>
        <w:tc>
          <w:tcPr>
            <w:vAlign w:val="center"/>
          </w:tcPr>
          <w:p>
            <w:pPr>
              <w:spacing w:beforeAutospacing="true" w:afterAutospacing="true"/>
              <w:jc w:val="left"/>
            </w:pPr>
            <w:r>
              <w:rPr>
                <w:rFonts w:ascii="Calibri" w:hAnsi="Calibri"/>
                <w:color w:val="000000"/>
                <w:sz w:val="22"/>
              </w:rPr>
              <w:t xml:space="preserve">         1.31%</w:t>
            </w:r>
          </w:p>
        </w:tc>
        <w:tc>
          <w:tcPr>
            <w:vAlign w:val="center"/>
          </w:tcPr>
          <w:p>
            <w:pPr>
              <w:spacing w:beforeAutospacing="true" w:afterAutospacing="true"/>
              <w:jc w:val="left"/>
            </w:pPr>
            <w:r>
              <w:rPr>
                <w:rFonts w:ascii="Calibri" w:hAnsi="Calibri"/>
                <w:color w:val="000000"/>
                <w:sz w:val="22"/>
              </w:rPr>
              <w:t xml:space="preserve">10</w:t>
            </w:r>
          </w:p>
        </w:tc>
        <w:tc>
          <w:tcPr>
            <w:vAlign w:val="center"/>
          </w:tcPr>
          <w:p>
            <w:pPr>
              <w:spacing w:beforeAutospacing="true" w:afterAutospacing="true"/>
              <w:jc w:val="left"/>
            </w:pPr>
            <w:r>
              <w:rPr>
                <w:rFonts w:ascii="Calibri" w:hAnsi="Calibri"/>
                <w:color w:val="000000"/>
                <w:sz w:val="22"/>
              </w:rPr>
              <w:t xml:space="preserve">9</w:t>
            </w:r>
          </w:p>
        </w:tc>
        <w:tc>
          <w:tcPr>
            <w:vAlign w:val="center"/>
          </w:tcPr>
          <w:p>
            <w:pPr>
              <w:spacing w:beforeAutospacing="true" w:afterAutospacing="true"/>
              <w:jc w:val="left"/>
            </w:pPr>
            <w:r>
              <w:rPr>
                <w:rFonts w:ascii="Calibri" w:hAnsi="Calibri"/>
                <w:color w:val="000000"/>
                <w:sz w:val="22"/>
              </w:rPr>
              <w:t xml:space="preserve">        90.00%</w:t>
            </w:r>
          </w:p>
        </w:tc>
      </w:tr>
      <w:tr>
        <w:trPr>
          <w:cantSplit w:val="true"/>
        </w:trPr>
        <w:tc>
          <w:tcPr>
            <w:vAlign w:val="center"/>
          </w:tcPr>
          <w:p>
            <w:pPr>
              <w:spacing w:beforeAutospacing="true" w:afterAutospacing="true"/>
              <w:jc w:val="left"/>
            </w:pPr>
            <w:r>
              <w:rPr>
                <w:rFonts w:ascii="Calibri" w:hAnsi="Calibri"/>
                <w:color w:val="000000"/>
                <w:sz w:val="22"/>
              </w:rPr>
              <w:t xml:space="preserve">Preserve and expand affordable housing</w:t>
            </w:r>
          </w:p>
        </w:tc>
        <w:tc>
          <w:tcPr>
            <w:vAlign w:val="center"/>
          </w:tcPr>
          <w:p>
            <w:pPr>
              <w:spacing w:beforeAutospacing="true" w:afterAutospacing="true"/>
              <w:jc w:val="left"/>
            </w:pPr>
            <w:r>
              <w:rPr>
                <w:rFonts w:ascii="Calibri" w:hAnsi="Calibri"/>
                <w:color w:val="000000"/>
                <w:sz w:val="22"/>
              </w:rPr>
              <w:t xml:space="preserve">Affordable Housing</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Homeowner Housing Added</w:t>
            </w:r>
          </w:p>
        </w:tc>
        <w:tc>
          <w:tcPr>
            <w:vAlign w:val="center"/>
          </w:tcPr>
          <w:p>
            <w:pPr>
              <w:spacing w:beforeAutospacing="true" w:afterAutospacing="true"/>
              <w:jc w:val="left"/>
            </w:pPr>
            <w:r>
              <w:rPr>
                <w:rFonts w:ascii="Calibri" w:hAnsi="Calibri"/>
                <w:color w:val="000000"/>
                <w:sz w:val="22"/>
              </w:rPr>
              <w:t xml:space="preserve">Household Housing Unit</w:t>
            </w:r>
          </w:p>
        </w:tc>
        <w:tc>
          <w:tcPr>
            <w:vAlign w:val="center"/>
          </w:tcPr>
          <w:p>
            <w:pPr>
              <w:spacing w:beforeAutospacing="true" w:afterAutospacing="true"/>
              <w:jc w:val="left"/>
            </w:pPr>
            <w:r>
              <w:rPr>
                <w:rFonts w:ascii="Calibri" w:hAnsi="Calibri"/>
                <w:color w:val="000000"/>
                <w:sz w:val="22"/>
              </w:rPr>
              <w:t xml:space="preserve">85</w:t>
            </w:r>
          </w:p>
        </w:tc>
        <w:tc>
          <w:tcPr>
            <w:vAlign w:val="center"/>
          </w:tcPr>
          <w:p>
            <w:pPr>
              <w:spacing w:beforeAutospacing="true" w:afterAutospacing="true"/>
              <w:jc w:val="left"/>
            </w:pPr>
            <w:r>
              <w:rPr>
                <w:rFonts w:ascii="Calibri" w:hAnsi="Calibri"/>
                <w:color w:val="000000"/>
                <w:sz w:val="22"/>
              </w:rPr>
              <w:t xml:space="preserve">43</w:t>
            </w:r>
          </w:p>
        </w:tc>
        <w:tc>
          <w:tcPr>
            <w:vAlign w:val="center"/>
          </w:tcPr>
          <w:p>
            <w:pPr>
              <w:spacing w:beforeAutospacing="true" w:afterAutospacing="true"/>
              <w:jc w:val="left"/>
            </w:pPr>
            <w:r>
              <w:rPr>
                <w:rFonts w:ascii="Calibri" w:hAnsi="Calibri"/>
                <w:color w:val="000000"/>
                <w:sz w:val="22"/>
              </w:rPr>
              <w:t xml:space="preserve">        50.59%</w:t>
            </w:r>
          </w:p>
        </w:tc>
        <w:tc>
          <w:tcPr>
            <w:vAlign w:val="center"/>
          </w:tcPr>
          <w:p>
            <w:pPr>
              <w:spacing w:beforeAutospacing="true" w:afterAutospacing="true"/>
              <w:jc w:val="left"/>
            </w:pPr>
            <w:r>
              <w:rPr>
                <w:rFonts w:ascii="Calibri" w:hAnsi="Calibri"/>
                <w:color w:val="000000"/>
                <w:sz w:val="22"/>
              </w:rPr>
              <w:t xml:space="preserve">12</w:t>
            </w:r>
          </w:p>
        </w:tc>
        <w:tc>
          <w:tcPr>
            <w:vAlign w:val="center"/>
          </w:tcPr>
          <w:p>
            <w:pPr>
              <w:spacing w:beforeAutospacing="true" w:afterAutospacing="true"/>
              <w:jc w:val="left"/>
            </w:pPr>
            <w:r>
              <w:rPr>
                <w:rFonts w:ascii="Calibri" w:hAnsi="Calibri"/>
                <w:color w:val="000000"/>
                <w:sz w:val="22"/>
              </w:rPr>
              <w:t xml:space="preserve">8</w:t>
            </w:r>
          </w:p>
        </w:tc>
        <w:tc>
          <w:tcPr>
            <w:vAlign w:val="center"/>
          </w:tcPr>
          <w:p>
            <w:pPr>
              <w:spacing w:beforeAutospacing="true" w:afterAutospacing="true"/>
              <w:jc w:val="left"/>
            </w:pPr>
            <w:r>
              <w:rPr>
                <w:rFonts w:ascii="Calibri" w:hAnsi="Calibri"/>
                <w:color w:val="000000"/>
                <w:sz w:val="22"/>
              </w:rPr>
              <w:t xml:space="preserve">        66.67%</w:t>
            </w:r>
          </w:p>
        </w:tc>
      </w:tr>
      <w:tr>
        <w:trPr>
          <w:cantSplit w:val="true"/>
        </w:trPr>
        <w:tc>
          <w:tcPr>
            <w:vAlign w:val="center"/>
          </w:tcPr>
          <w:p>
            <w:pPr>
              <w:spacing w:beforeAutospacing="true" w:afterAutospacing="true"/>
              <w:jc w:val="left"/>
            </w:pPr>
            <w:r>
              <w:rPr>
                <w:rFonts w:ascii="Calibri" w:hAnsi="Calibri"/>
                <w:color w:val="000000"/>
                <w:sz w:val="22"/>
              </w:rPr>
              <w:t xml:space="preserve">Preserve and expand affordable housing</w:t>
            </w:r>
          </w:p>
        </w:tc>
        <w:tc>
          <w:tcPr>
            <w:vAlign w:val="center"/>
          </w:tcPr>
          <w:p>
            <w:pPr>
              <w:spacing w:beforeAutospacing="true" w:afterAutospacing="true"/>
              <w:jc w:val="left"/>
            </w:pPr>
            <w:r>
              <w:rPr>
                <w:rFonts w:ascii="Calibri" w:hAnsi="Calibri"/>
                <w:color w:val="000000"/>
                <w:sz w:val="22"/>
              </w:rPr>
              <w:t xml:space="preserve">Affordable Housing</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Homeowner Housing Rehabilitated</w:t>
            </w:r>
          </w:p>
        </w:tc>
        <w:tc>
          <w:tcPr>
            <w:vAlign w:val="center"/>
          </w:tcPr>
          <w:p>
            <w:pPr>
              <w:spacing w:beforeAutospacing="true" w:afterAutospacing="true"/>
              <w:jc w:val="left"/>
            </w:pPr>
            <w:r>
              <w:rPr>
                <w:rFonts w:ascii="Calibri" w:hAnsi="Calibri"/>
                <w:color w:val="000000"/>
                <w:sz w:val="22"/>
              </w:rPr>
              <w:t xml:space="preserve">Household Housing Unit</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3</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0.00%</w:t>
            </w:r>
          </w:p>
        </w:tc>
      </w:tr>
      <w:tr>
        <w:trPr>
          <w:cantSplit w:val="true"/>
        </w:trPr>
        <w:tc>
          <w:tcPr>
            <w:vAlign w:val="center"/>
          </w:tcPr>
          <w:p>
            <w:pPr>
              <w:spacing w:beforeAutospacing="true" w:afterAutospacing="true"/>
              <w:jc w:val="left"/>
            </w:pPr>
            <w:r>
              <w:rPr>
                <w:rFonts w:ascii="Calibri" w:hAnsi="Calibri"/>
                <w:color w:val="000000"/>
                <w:sz w:val="22"/>
              </w:rPr>
              <w:t xml:space="preserve">Preserve and expand affordable housing</w:t>
            </w:r>
          </w:p>
        </w:tc>
        <w:tc>
          <w:tcPr>
            <w:vAlign w:val="center"/>
          </w:tcPr>
          <w:p>
            <w:pPr>
              <w:spacing w:beforeAutospacing="true" w:afterAutospacing="true"/>
              <w:jc w:val="left"/>
            </w:pPr>
            <w:r>
              <w:rPr>
                <w:rFonts w:ascii="Calibri" w:hAnsi="Calibri"/>
                <w:color w:val="000000"/>
                <w:sz w:val="22"/>
              </w:rPr>
              <w:t xml:space="preserve">Affordable Housing</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Direct Financial Assistance to Homebuyers</w:t>
            </w:r>
          </w:p>
        </w:tc>
        <w:tc>
          <w:tcPr>
            <w:vAlign w:val="center"/>
          </w:tcPr>
          <w:p>
            <w:pPr>
              <w:spacing w:beforeAutospacing="true" w:afterAutospacing="true"/>
              <w:jc w:val="left"/>
            </w:pPr>
            <w:r>
              <w:rPr>
                <w:rFonts w:ascii="Calibri" w:hAnsi="Calibri"/>
                <w:color w:val="000000"/>
                <w:sz w:val="22"/>
              </w:rPr>
              <w:t xml:space="preserve">Households Assisted</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43</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60</w:t>
            </w:r>
          </w:p>
        </w:tc>
        <w:tc>
          <w:tcPr>
            <w:vAlign w:val="center"/>
          </w:tcPr>
          <w:p>
            <w:pPr>
              <w:spacing w:beforeAutospacing="true" w:afterAutospacing="true"/>
              <w:jc w:val="left"/>
            </w:pPr>
            <w:r>
              <w:rPr>
                <w:rFonts w:ascii="Calibri" w:hAnsi="Calibri"/>
                <w:color w:val="000000"/>
                <w:sz w:val="22"/>
              </w:rPr>
              <w:t xml:space="preserve">43</w:t>
            </w:r>
          </w:p>
        </w:tc>
        <w:tc>
          <w:tcPr>
            <w:vAlign w:val="center"/>
          </w:tcPr>
          <w:p>
            <w:pPr>
              <w:spacing w:beforeAutospacing="true" w:afterAutospacing="true"/>
              <w:jc w:val="left"/>
            </w:pPr>
            <w:r>
              <w:rPr>
                <w:rFonts w:ascii="Calibri" w:hAnsi="Calibri"/>
                <w:color w:val="000000"/>
                <w:sz w:val="22"/>
              </w:rPr>
              <w:t xml:space="preserve">        71.67%</w:t>
            </w:r>
          </w:p>
        </w:tc>
      </w:tr>
      <w:tr>
        <w:trPr>
          <w:cantSplit w:val="true"/>
        </w:trPr>
        <w:tc>
          <w:tcPr>
            <w:vAlign w:val="center"/>
          </w:tcPr>
          <w:p>
            <w:pPr>
              <w:spacing w:beforeAutospacing="true" w:afterAutospacing="true"/>
              <w:jc w:val="left"/>
            </w:pPr>
            <w:r>
              <w:rPr>
                <w:rFonts w:ascii="Calibri" w:hAnsi="Calibri"/>
                <w:color w:val="000000"/>
                <w:sz w:val="22"/>
              </w:rPr>
              <w:t xml:space="preserve">Preserve and expand affordable housing</w:t>
            </w:r>
          </w:p>
        </w:tc>
        <w:tc>
          <w:tcPr>
            <w:vAlign w:val="center"/>
          </w:tcPr>
          <w:p>
            <w:pPr>
              <w:spacing w:beforeAutospacing="true" w:afterAutospacing="true"/>
              <w:jc w:val="left"/>
            </w:pPr>
            <w:r>
              <w:rPr>
                <w:rFonts w:ascii="Calibri" w:hAnsi="Calibri"/>
                <w:color w:val="000000"/>
                <w:sz w:val="22"/>
              </w:rPr>
              <w:t xml:space="preserve">Affordable Housing</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Tenant-based rental assistance / Rapid Rehousing</w:t>
            </w:r>
          </w:p>
        </w:tc>
        <w:tc>
          <w:tcPr>
            <w:vAlign w:val="center"/>
          </w:tcPr>
          <w:p>
            <w:pPr>
              <w:spacing w:beforeAutospacing="true" w:afterAutospacing="true"/>
              <w:jc w:val="left"/>
            </w:pPr>
            <w:r>
              <w:rPr>
                <w:rFonts w:ascii="Calibri" w:hAnsi="Calibri"/>
                <w:color w:val="000000"/>
                <w:sz w:val="22"/>
              </w:rPr>
              <w:t xml:space="preserve">Households Assisted</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43</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175</w:t>
            </w:r>
          </w:p>
        </w:tc>
        <w:tc>
          <w:tcPr>
            <w:vAlign w:val="center"/>
          </w:tcPr>
          <w:p>
            <w:pPr>
              <w:spacing w:beforeAutospacing="true" w:afterAutospacing="true"/>
              <w:jc w:val="left"/>
            </w:pPr>
            <w:r>
              <w:rPr>
                <w:rFonts w:ascii="Calibri" w:hAnsi="Calibri"/>
                <w:color w:val="000000"/>
                <w:sz w:val="22"/>
              </w:rPr>
              <w:t xml:space="preserve">70</w:t>
            </w:r>
          </w:p>
        </w:tc>
        <w:tc>
          <w:tcPr>
            <w:vAlign w:val="center"/>
          </w:tcPr>
          <w:p>
            <w:pPr>
              <w:spacing w:beforeAutospacing="true" w:afterAutospacing="true"/>
              <w:jc w:val="left"/>
            </w:pPr>
            <w:r>
              <w:rPr>
                <w:rFonts w:ascii="Calibri" w:hAnsi="Calibri"/>
                <w:color w:val="000000"/>
                <w:sz w:val="22"/>
              </w:rPr>
              <w:t xml:space="preserve">        40.00%</w:t>
            </w:r>
          </w:p>
        </w:tc>
      </w:tr>
      <w:tr>
        <w:trPr>
          <w:cantSplit w:val="true"/>
        </w:trPr>
        <w:tc>
          <w:tcPr>
            <w:vAlign w:val="center"/>
          </w:tcPr>
          <w:p>
            <w:pPr>
              <w:spacing w:beforeAutospacing="true" w:afterAutospacing="true"/>
              <w:jc w:val="left"/>
            </w:pPr>
            <w:r>
              <w:rPr>
                <w:rFonts w:ascii="Calibri" w:hAnsi="Calibri"/>
                <w:color w:val="000000"/>
                <w:sz w:val="22"/>
              </w:rPr>
              <w:t xml:space="preserve">Program Management</w:t>
            </w:r>
          </w:p>
        </w:tc>
        <w:tc>
          <w:tcPr>
            <w:vAlign w:val="center"/>
          </w:tcPr>
          <w:p>
            <w:pPr>
              <w:spacing w:beforeAutospacing="true" w:afterAutospacing="true"/>
              <w:jc w:val="left"/>
            </w:pPr>
            <w:r>
              <w:rPr>
                <w:rFonts w:ascii="Calibri" w:hAnsi="Calibri"/>
                <w:color w:val="000000"/>
                <w:sz w:val="22"/>
              </w:rPr>
              <w:t xml:space="preserve">Affordable Housing</w:t>
            </w:r>
            <w:r>
              <w:rPr>
                <w:rFonts w:ascii="Calibri" w:hAnsi="Calibri"/>
                <w:color w:val="000000"/>
                <w:sz w:val="22"/>
              </w:rPr>
              <w:br/>
              <w:t xml:space="preserve"/>
            </w:r>
            <w:r>
              <w:rPr>
                <w:rFonts w:ascii="Calibri" w:hAnsi="Calibri"/>
                <w:color w:val="000000"/>
                <w:sz w:val="22"/>
              </w:rPr>
              <w:t xml:space="preserve">Homeless</w:t>
            </w:r>
            <w:r>
              <w:rPr>
                <w:rFonts w:ascii="Calibri" w:hAnsi="Calibri"/>
                <w:color w:val="000000"/>
                <w:sz w:val="22"/>
              </w:rPr>
              <w:br/>
              <w:t xml:space="preserve"/>
            </w:r>
            <w:r>
              <w:rPr>
                <w:rFonts w:ascii="Calibri" w:hAnsi="Calibri"/>
                <w:color w:val="000000"/>
                <w:sz w:val="22"/>
              </w:rPr>
              <w:t xml:space="preserve">Non-Homeless Special Needs</w:t>
            </w:r>
            <w:r>
              <w:rPr>
                <w:rFonts w:ascii="Calibri" w:hAnsi="Calibri"/>
                <w:color w:val="000000"/>
                <w:sz w:val="22"/>
              </w:rPr>
              <w:br/>
              <w:t xml:space="preserve"/>
            </w:r>
            <w:r>
              <w:rPr>
                <w:rFonts w:ascii="Calibri" w:hAnsi="Calibri"/>
                <w:color w:val="000000"/>
                <w:sz w:val="22"/>
              </w:rPr>
              <w:t xml:space="preserve">Non-Housing Community Development</w:t>
            </w:r>
          </w:p>
        </w:tc>
        <w:tc>
          <w:tcPr>
            <w:vAlign w:val="center"/>
          </w:tcPr>
          <w:p>
            <w:pPr>
              <w:spacing w:beforeAutospacing="true" w:afterAutospacing="true"/>
              <w:jc w:val="left"/>
            </w:pPr>
            <w:r>
              <w:rPr>
                <w:rFonts w:ascii="Calibri" w:hAnsi="Calibri"/>
                <w:color w:val="000000"/>
                <w:sz w:val="22"/>
              </w:rPr>
              <w:t xml:space="preserve">CDBG: $3650514 / HOME: $511166</w:t>
            </w:r>
          </w:p>
        </w:tc>
        <w:tc>
          <w:tcPr>
            <w:vAlign w:val="center"/>
          </w:tcPr>
          <w:p>
            <w:pPr>
              <w:spacing w:beforeAutospacing="true" w:afterAutospacing="true"/>
              <w:jc w:val="left"/>
            </w:pPr>
            <w:r>
              <w:rPr>
                <w:rFonts w:ascii="Calibri" w:hAnsi="Calibri"/>
                <w:color w:val="000000"/>
                <w:sz w:val="22"/>
              </w:rPr>
              <w:t xml:space="preserve">Public service activities for Low/Moderate Income Housing Benefit</w:t>
            </w:r>
          </w:p>
        </w:tc>
        <w:tc>
          <w:tcPr>
            <w:vAlign w:val="center"/>
          </w:tcPr>
          <w:p>
            <w:pPr>
              <w:spacing w:beforeAutospacing="true" w:afterAutospacing="true"/>
              <w:jc w:val="left"/>
            </w:pPr>
            <w:r>
              <w:rPr>
                <w:rFonts w:ascii="Calibri" w:hAnsi="Calibri"/>
                <w:color w:val="000000"/>
                <w:sz w:val="22"/>
              </w:rPr>
              <w:t xml:space="preserve">Households Assisted</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1614</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375</w:t>
            </w:r>
          </w:p>
        </w:tc>
        <w:tc>
          <w:tcPr>
            <w:vAlign w:val="center"/>
          </w:tcPr>
          <w:p>
            <w:pPr>
              <w:spacing w:beforeAutospacing="true" w:afterAutospacing="true"/>
              <w:jc w:val="left"/>
            </w:pPr>
            <w:r>
              <w:rPr>
                <w:rFonts w:ascii="Calibri" w:hAnsi="Calibri"/>
                <w:color w:val="000000"/>
                <w:sz w:val="22"/>
              </w:rPr>
              <w:t xml:space="preserve">103</w:t>
            </w:r>
          </w:p>
        </w:tc>
        <w:tc>
          <w:tcPr>
            <w:vAlign w:val="center"/>
          </w:tcPr>
          <w:p>
            <w:pPr>
              <w:spacing w:beforeAutospacing="true" w:afterAutospacing="true"/>
              <w:jc w:val="left"/>
            </w:pPr>
            <w:r>
              <w:rPr>
                <w:rFonts w:ascii="Calibri" w:hAnsi="Calibri"/>
                <w:color w:val="000000"/>
                <w:sz w:val="22"/>
              </w:rPr>
              <w:t xml:space="preserve">        27.47%</w:t>
            </w:r>
          </w:p>
        </w:tc>
      </w:tr>
      <w:tr>
        <w:trPr>
          <w:cantSplit w:val="true"/>
        </w:trPr>
        <w:tc>
          <w:tcPr>
            <w:vAlign w:val="center"/>
          </w:tcPr>
          <w:p>
            <w:pPr>
              <w:spacing w:beforeAutospacing="true" w:afterAutospacing="true"/>
              <w:jc w:val="left"/>
            </w:pPr>
            <w:r>
              <w:rPr>
                <w:rFonts w:ascii="Calibri" w:hAnsi="Calibri"/>
                <w:color w:val="000000"/>
                <w:sz w:val="22"/>
              </w:rPr>
              <w:t xml:space="preserve">Program Management</w:t>
            </w:r>
          </w:p>
        </w:tc>
        <w:tc>
          <w:tcPr>
            <w:vAlign w:val="center"/>
          </w:tcPr>
          <w:p>
            <w:pPr>
              <w:spacing w:beforeAutospacing="true" w:afterAutospacing="true"/>
              <w:jc w:val="left"/>
            </w:pPr>
            <w:r>
              <w:rPr>
                <w:rFonts w:ascii="Calibri" w:hAnsi="Calibri"/>
                <w:color w:val="000000"/>
                <w:sz w:val="22"/>
              </w:rPr>
              <w:t xml:space="preserve">Affordable Housing</w:t>
            </w:r>
            <w:r>
              <w:rPr>
                <w:rFonts w:ascii="Calibri" w:hAnsi="Calibri"/>
                <w:color w:val="000000"/>
                <w:sz w:val="22"/>
              </w:rPr>
              <w:br/>
              <w:t xml:space="preserve"/>
            </w:r>
            <w:r>
              <w:rPr>
                <w:rFonts w:ascii="Calibri" w:hAnsi="Calibri"/>
                <w:color w:val="000000"/>
                <w:sz w:val="22"/>
              </w:rPr>
              <w:t xml:space="preserve">Homeless</w:t>
            </w:r>
            <w:r>
              <w:rPr>
                <w:rFonts w:ascii="Calibri" w:hAnsi="Calibri"/>
                <w:color w:val="000000"/>
                <w:sz w:val="22"/>
              </w:rPr>
              <w:br/>
              <w:t xml:space="preserve"/>
            </w:r>
            <w:r>
              <w:rPr>
                <w:rFonts w:ascii="Calibri" w:hAnsi="Calibri"/>
                <w:color w:val="000000"/>
                <w:sz w:val="22"/>
              </w:rPr>
              <w:t xml:space="preserve">Non-Homeless Special Needs</w:t>
            </w:r>
            <w:r>
              <w:rPr>
                <w:rFonts w:ascii="Calibri" w:hAnsi="Calibri"/>
                <w:color w:val="000000"/>
                <w:sz w:val="22"/>
              </w:rPr>
              <w:br/>
              <w:t xml:space="preserve"/>
            </w:r>
            <w:r>
              <w:rPr>
                <w:rFonts w:ascii="Calibri" w:hAnsi="Calibri"/>
                <w:color w:val="000000"/>
                <w:sz w:val="22"/>
              </w:rPr>
              <w:t xml:space="preserve">Non-Housing Community Development</w:t>
            </w:r>
          </w:p>
        </w:tc>
        <w:tc>
          <w:tcPr>
            <w:vAlign w:val="center"/>
          </w:tcPr>
          <w:p>
            <w:pPr>
              <w:spacing w:beforeAutospacing="true" w:afterAutospacing="true"/>
              <w:jc w:val="left"/>
            </w:pPr>
            <w:r>
              <w:rPr>
                <w:rFonts w:ascii="Calibri" w:hAnsi="Calibri"/>
                <w:color w:val="000000"/>
                <w:sz w:val="22"/>
              </w:rPr>
              <w:t xml:space="preserve">CDBG: $3650514 / HOME: $511166</w:t>
            </w:r>
          </w:p>
        </w:tc>
        <w:tc>
          <w:tcPr>
            <w:vAlign w:val="center"/>
          </w:tcPr>
          <w:p>
            <w:pPr>
              <w:spacing w:beforeAutospacing="true" w:afterAutospacing="true"/>
              <w:jc w:val="left"/>
            </w:pPr>
            <w:r>
              <w:rPr>
                <w:rFonts w:ascii="Calibri" w:hAnsi="Calibri"/>
                <w:color w:val="000000"/>
                <w:sz w:val="22"/>
              </w:rPr>
              <w:t xml:space="preserve">Other</w:t>
            </w:r>
          </w:p>
        </w:tc>
        <w:tc>
          <w:tcPr>
            <w:vAlign w:val="center"/>
          </w:tcPr>
          <w:p>
            <w:pPr>
              <w:spacing w:beforeAutospacing="true" w:afterAutospacing="true"/>
              <w:jc w:val="left"/>
            </w:pPr>
            <w:r>
              <w:rPr>
                <w:rFonts w:ascii="Calibri" w:hAnsi="Calibri"/>
                <w:color w:val="000000"/>
                <w:sz w:val="22"/>
              </w:rPr>
              <w:t xml:space="preserve">Other</w:t>
            </w:r>
          </w:p>
        </w:tc>
        <w:tc>
          <w:tcPr>
            <w:vAlign w:val="center"/>
          </w:tcPr>
          <w:p>
            <w:pPr>
              <w:spacing w:beforeAutospacing="true" w:afterAutospacing="true"/>
              <w:jc w:val="left"/>
            </w:pPr>
            <w:r>
              <w:rPr>
                <w:rFonts w:ascii="Calibri" w:hAnsi="Calibri"/>
                <w:color w:val="000000"/>
                <w:sz w:val="22"/>
              </w:rPr>
              <w:t xml:space="preserve">1</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0.00%</w:t>
            </w:r>
          </w:p>
        </w:tc>
        <w:tc>
          <w:tcPr>
            <w:vAlign w:val="center"/>
          </w:tcPr>
          <w:p>
            <w:pPr>
              <w:spacing w:beforeAutospacing="true" w:afterAutospacing="true"/>
              <w:jc w:val="left"/>
            </w:pPr>
            <w:r>
              <w:rPr>
                <w:rFonts w:ascii="Calibri" w:hAnsi="Calibri"/>
                <w:color w:val="000000"/>
                <w:sz w:val="22"/>
              </w:rPr>
              <w:t xml:space="preserve">19</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0.00%</w:t>
            </w:r>
          </w:p>
        </w:tc>
      </w:tr>
      <w:tr>
        <w:trPr>
          <w:cantSplit w:val="true"/>
        </w:trPr>
        <w:tc>
          <w:tcPr>
            <w:vAlign w:val="center"/>
          </w:tcPr>
          <w:p>
            <w:pPr>
              <w:spacing w:beforeAutospacing="true" w:afterAutospacing="true"/>
              <w:jc w:val="left"/>
            </w:pPr>
            <w:r>
              <w:rPr>
                <w:rFonts w:ascii="Calibri" w:hAnsi="Calibri"/>
                <w:color w:val="000000"/>
                <w:sz w:val="22"/>
              </w:rPr>
              <w:t xml:space="preserve">Provide clean lots for redevelopment/green space</w:t>
            </w:r>
          </w:p>
        </w:tc>
        <w:tc>
          <w:tcPr>
            <w:vAlign w:val="center"/>
          </w:tcPr>
          <w:p>
            <w:pPr>
              <w:spacing w:beforeAutospacing="true" w:afterAutospacing="true"/>
              <w:jc w:val="left"/>
            </w:pPr>
            <w:r>
              <w:rPr>
                <w:rFonts w:ascii="Calibri" w:hAnsi="Calibri"/>
                <w:color w:val="000000"/>
                <w:sz w:val="22"/>
              </w:rPr>
              <w:t xml:space="preserve">Non-Housing Community Development</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Other</w:t>
            </w:r>
          </w:p>
        </w:tc>
        <w:tc>
          <w:tcPr>
            <w:vAlign w:val="center"/>
          </w:tcPr>
          <w:p>
            <w:pPr>
              <w:spacing w:beforeAutospacing="true" w:afterAutospacing="true"/>
              <w:jc w:val="left"/>
            </w:pPr>
            <w:r>
              <w:rPr>
                <w:rFonts w:ascii="Calibri" w:hAnsi="Calibri"/>
                <w:color w:val="000000"/>
                <w:sz w:val="22"/>
              </w:rPr>
              <w:t xml:space="preserve">Other</w:t>
            </w:r>
          </w:p>
        </w:tc>
        <w:tc>
          <w:tcPr>
            <w:vAlign w:val="center"/>
          </w:tcPr>
          <w:p>
            <w:pPr>
              <w:spacing w:beforeAutospacing="true" w:afterAutospacing="true"/>
              <w:jc w:val="left"/>
            </w:pPr>
            <w:r>
              <w:rPr>
                <w:rFonts w:ascii="Calibri" w:hAnsi="Calibri"/>
                <w:color w:val="000000"/>
                <w:sz w:val="22"/>
              </w:rPr>
              <w:t xml:space="preserve">5</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0.00%</w:t>
            </w:r>
          </w:p>
        </w:tc>
        <w:tc>
          <w:tcPr>
            <w:vAlign w:val="center"/>
          </w:tcPr>
          <w:p>
            <w:pPr>
              <w:spacing w:beforeAutospacing="true" w:afterAutospacing="true"/>
              <w:jc w:val="left"/>
            </w:pPr>
            <w:r>
              <w:rPr>
                <w:rFonts w:ascii="Calibri" w:hAnsi="Calibri"/>
                <w:color w:val="000000"/>
                <w:sz w:val="22"/>
              </w:rPr>
              <w:t xml:space="preserve">1</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0.00%</w:t>
            </w:r>
          </w:p>
        </w:tc>
      </w:tr>
      <w:tr>
        <w:trPr>
          <w:cantSplit w:val="true"/>
        </w:trPr>
        <w:tc>
          <w:tcPr>
            <w:vAlign w:val="center"/>
          </w:tcPr>
          <w:p>
            <w:pPr>
              <w:spacing w:beforeAutospacing="true" w:afterAutospacing="true"/>
              <w:jc w:val="left"/>
            </w:pPr>
            <w:r>
              <w:rPr>
                <w:rFonts w:ascii="Calibri" w:hAnsi="Calibri"/>
                <w:color w:val="000000"/>
                <w:sz w:val="22"/>
              </w:rPr>
              <w:t xml:space="preserve">Provide educational/recreational youth programs</w:t>
            </w:r>
          </w:p>
        </w:tc>
        <w:tc>
          <w:tcPr>
            <w:vAlign w:val="center"/>
          </w:tcPr>
          <w:p>
            <w:pPr>
              <w:spacing w:beforeAutospacing="true" w:afterAutospacing="true"/>
              <w:jc w:val="left"/>
            </w:pPr>
            <w:r>
              <w:rPr>
                <w:rFonts w:ascii="Calibri" w:hAnsi="Calibri"/>
                <w:color w:val="000000"/>
                <w:sz w:val="22"/>
              </w:rPr>
              <w:t xml:space="preserve">Non-Housing Community Development</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Public Facility or Infrastructure Activities other than Low/Moderate Income Housing Benefit</w:t>
            </w:r>
          </w:p>
        </w:tc>
        <w:tc>
          <w:tcPr>
            <w:vAlign w:val="center"/>
          </w:tcPr>
          <w:p>
            <w:pPr>
              <w:spacing w:beforeAutospacing="true" w:afterAutospacing="true"/>
              <w:jc w:val="left"/>
            </w:pPr>
            <w:r>
              <w:rPr>
                <w:rFonts w:ascii="Calibri" w:hAnsi="Calibri"/>
                <w:color w:val="000000"/>
                <w:sz w:val="22"/>
              </w:rPr>
              <w:t xml:space="preserve">Persons Assisted</w:t>
            </w:r>
          </w:p>
        </w:tc>
        <w:tc>
          <w:tcPr>
            <w:vAlign w:val="center"/>
          </w:tcPr>
          <w:p>
            <w:pPr>
              <w:spacing w:beforeAutospacing="true" w:afterAutospacing="true"/>
              <w:jc w:val="left"/>
            </w:pPr>
            <w:r>
              <w:rPr>
                <w:rFonts w:ascii="Calibri" w:hAnsi="Calibri"/>
                <w:color w:val="000000"/>
                <w:sz w:val="22"/>
              </w:rPr>
              <w:t xml:space="preserve">2500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0.00%</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r>
      <w:tr>
        <w:trPr>
          <w:cantSplit w:val="true"/>
        </w:trPr>
        <w:tc>
          <w:tcPr>
            <w:vAlign w:val="center"/>
          </w:tcPr>
          <w:p>
            <w:pPr>
              <w:spacing w:beforeAutospacing="true" w:afterAutospacing="true"/>
              <w:jc w:val="left"/>
            </w:pPr>
            <w:r>
              <w:rPr>
                <w:rFonts w:ascii="Calibri" w:hAnsi="Calibri"/>
                <w:color w:val="000000"/>
                <w:sz w:val="22"/>
              </w:rPr>
              <w:t xml:space="preserve">Provide educational/recreational youth programs</w:t>
            </w:r>
          </w:p>
        </w:tc>
        <w:tc>
          <w:tcPr>
            <w:vAlign w:val="center"/>
          </w:tcPr>
          <w:p>
            <w:pPr>
              <w:spacing w:beforeAutospacing="true" w:afterAutospacing="true"/>
              <w:jc w:val="left"/>
            </w:pPr>
            <w:r>
              <w:rPr>
                <w:rFonts w:ascii="Calibri" w:hAnsi="Calibri"/>
                <w:color w:val="000000"/>
                <w:sz w:val="22"/>
              </w:rPr>
              <w:t xml:space="preserve">Non-Housing Community Development</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Public service activities other than Low/Moderate Income Housing Benefit</w:t>
            </w:r>
          </w:p>
        </w:tc>
        <w:tc>
          <w:tcPr>
            <w:vAlign w:val="center"/>
          </w:tcPr>
          <w:p>
            <w:pPr>
              <w:spacing w:beforeAutospacing="true" w:afterAutospacing="true"/>
              <w:jc w:val="left"/>
            </w:pPr>
            <w:r>
              <w:rPr>
                <w:rFonts w:ascii="Calibri" w:hAnsi="Calibri"/>
                <w:color w:val="000000"/>
                <w:sz w:val="22"/>
              </w:rPr>
              <w:t xml:space="preserve">Persons Assisted</w:t>
            </w:r>
          </w:p>
        </w:tc>
        <w:tc>
          <w:tcPr>
            <w:vAlign w:val="center"/>
          </w:tcPr>
          <w:p>
            <w:pPr>
              <w:spacing w:beforeAutospacing="true" w:afterAutospacing="true"/>
              <w:jc w:val="left"/>
            </w:pPr>
            <w:r>
              <w:rPr>
                <w:rFonts w:ascii="Calibri" w:hAnsi="Calibri"/>
                <w:color w:val="000000"/>
                <w:sz w:val="22"/>
              </w:rPr>
              <w:t xml:space="preserve">18700</w:t>
            </w:r>
          </w:p>
        </w:tc>
        <w:tc>
          <w:tcPr>
            <w:vAlign w:val="center"/>
          </w:tcPr>
          <w:p>
            <w:pPr>
              <w:spacing w:beforeAutospacing="true" w:afterAutospacing="true"/>
              <w:jc w:val="left"/>
            </w:pPr>
            <w:r>
              <w:rPr>
                <w:rFonts w:ascii="Calibri" w:hAnsi="Calibri"/>
                <w:color w:val="000000"/>
                <w:sz w:val="22"/>
              </w:rPr>
              <w:t xml:space="preserve">258</w:t>
            </w:r>
          </w:p>
        </w:tc>
        <w:tc>
          <w:tcPr>
            <w:vAlign w:val="center"/>
          </w:tcPr>
          <w:p>
            <w:pPr>
              <w:spacing w:beforeAutospacing="true" w:afterAutospacing="true"/>
              <w:jc w:val="left"/>
            </w:pPr>
            <w:r>
              <w:rPr>
                <w:rFonts w:ascii="Calibri" w:hAnsi="Calibri"/>
                <w:color w:val="000000"/>
                <w:sz w:val="22"/>
              </w:rPr>
              <w:t xml:space="preserve">         1.38%</w:t>
            </w:r>
          </w:p>
        </w:tc>
        <w:tc>
          <w:tcPr>
            <w:vAlign w:val="center"/>
          </w:tcPr>
          <w:p>
            <w:pPr>
              <w:spacing w:beforeAutospacing="true" w:afterAutospacing="true"/>
              <w:jc w:val="left"/>
            </w:pPr>
            <w:r>
              <w:rPr>
                <w:rFonts w:ascii="Calibri" w:hAnsi="Calibri"/>
                <w:color w:val="000000"/>
                <w:sz w:val="22"/>
              </w:rPr>
              <w:t xml:space="preserve">740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0.00%</w:t>
            </w:r>
          </w:p>
        </w:tc>
      </w:tr>
      <w:tr>
        <w:trPr>
          <w:cantSplit w:val="true"/>
        </w:trPr>
        <w:tc>
          <w:tcPr>
            <w:vAlign w:val="center"/>
          </w:tcPr>
          <w:p>
            <w:pPr>
              <w:spacing w:beforeAutospacing="true" w:afterAutospacing="true"/>
              <w:jc w:val="left"/>
            </w:pPr>
            <w:r>
              <w:rPr>
                <w:rFonts w:ascii="Calibri" w:hAnsi="Calibri"/>
                <w:color w:val="000000"/>
                <w:sz w:val="22"/>
              </w:rPr>
              <w:t xml:space="preserve">Provide homebuyer education and assistance</w:t>
            </w:r>
          </w:p>
        </w:tc>
        <w:tc>
          <w:tcPr>
            <w:vAlign w:val="center"/>
          </w:tcPr>
          <w:p>
            <w:pPr>
              <w:spacing w:beforeAutospacing="true" w:afterAutospacing="true"/>
              <w:jc w:val="left"/>
            </w:pPr>
            <w:r>
              <w:rPr>
                <w:rFonts w:ascii="Calibri" w:hAnsi="Calibri"/>
                <w:color w:val="000000"/>
                <w:sz w:val="22"/>
              </w:rPr>
              <w:t xml:space="preserve">Affordable Housing</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Public service activities other than Low/Moderate Income Housing Benefit</w:t>
            </w:r>
          </w:p>
        </w:tc>
        <w:tc>
          <w:tcPr>
            <w:vAlign w:val="center"/>
          </w:tcPr>
          <w:p>
            <w:pPr>
              <w:spacing w:beforeAutospacing="true" w:afterAutospacing="true"/>
              <w:jc w:val="left"/>
            </w:pPr>
            <w:r>
              <w:rPr>
                <w:rFonts w:ascii="Calibri" w:hAnsi="Calibri"/>
                <w:color w:val="000000"/>
                <w:sz w:val="22"/>
              </w:rPr>
              <w:t xml:space="preserve">Persons Assisted</w:t>
            </w:r>
          </w:p>
        </w:tc>
        <w:tc>
          <w:tcPr>
            <w:vAlign w:val="center"/>
          </w:tcPr>
          <w:p>
            <w:pPr>
              <w:spacing w:beforeAutospacing="true" w:afterAutospacing="true"/>
              <w:jc w:val="left"/>
            </w:pPr>
            <w:r>
              <w:rPr>
                <w:rFonts w:ascii="Calibri" w:hAnsi="Calibri"/>
                <w:color w:val="000000"/>
                <w:sz w:val="22"/>
              </w:rPr>
              <w:t xml:space="preserve">250</w:t>
            </w:r>
          </w:p>
        </w:tc>
        <w:tc>
          <w:tcPr>
            <w:vAlign w:val="center"/>
          </w:tcPr>
          <w:p>
            <w:pPr>
              <w:spacing w:beforeAutospacing="true" w:afterAutospacing="true"/>
              <w:jc w:val="left"/>
            </w:pPr>
            <w:r>
              <w:rPr>
                <w:rFonts w:ascii="Calibri" w:hAnsi="Calibri"/>
                <w:color w:val="000000"/>
                <w:sz w:val="22"/>
              </w:rPr>
              <w:t xml:space="preserve">1614</w:t>
            </w:r>
          </w:p>
        </w:tc>
        <w:tc>
          <w:tcPr>
            <w:vAlign w:val="center"/>
          </w:tcPr>
          <w:p>
            <w:pPr>
              <w:spacing w:beforeAutospacing="true" w:afterAutospacing="true"/>
              <w:jc w:val="left"/>
            </w:pPr>
            <w:r>
              <w:rPr>
                <w:rFonts w:ascii="Calibri" w:hAnsi="Calibri"/>
                <w:color w:val="000000"/>
                <w:sz w:val="22"/>
              </w:rPr>
              <w:t xml:space="preserve">       645.60%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w:t>
            </w:r>
          </w:p>
        </w:tc>
      </w:tr>
      <w:tr>
        <w:trPr>
          <w:cantSplit w:val="true"/>
        </w:trPr>
        <w:tc>
          <w:tcPr>
            <w:vAlign w:val="center"/>
          </w:tcPr>
          <w:p>
            <w:pPr>
              <w:spacing w:beforeAutospacing="true" w:afterAutospacing="true"/>
              <w:jc w:val="left"/>
            </w:pPr>
            <w:r>
              <w:rPr>
                <w:rFonts w:ascii="Calibri" w:hAnsi="Calibri"/>
                <w:color w:val="000000"/>
                <w:sz w:val="22"/>
              </w:rPr>
              <w:t xml:space="preserve">Provide homebuyer education and assistance</w:t>
            </w:r>
          </w:p>
        </w:tc>
        <w:tc>
          <w:tcPr>
            <w:vAlign w:val="center"/>
          </w:tcPr>
          <w:p>
            <w:pPr>
              <w:spacing w:beforeAutospacing="true" w:afterAutospacing="true"/>
              <w:jc w:val="left"/>
            </w:pPr>
            <w:r>
              <w:rPr>
                <w:rFonts w:ascii="Calibri" w:hAnsi="Calibri"/>
                <w:color w:val="000000"/>
                <w:sz w:val="22"/>
              </w:rPr>
              <w:t xml:space="preserve">Affordable Housing</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Public service activities for Low/Moderate Income Housing Benefit</w:t>
            </w:r>
          </w:p>
        </w:tc>
        <w:tc>
          <w:tcPr>
            <w:vAlign w:val="center"/>
          </w:tcPr>
          <w:p>
            <w:pPr>
              <w:spacing w:beforeAutospacing="true" w:afterAutospacing="true"/>
              <w:jc w:val="left"/>
            </w:pPr>
            <w:r>
              <w:rPr>
                <w:rFonts w:ascii="Calibri" w:hAnsi="Calibri"/>
                <w:color w:val="000000"/>
                <w:sz w:val="22"/>
              </w:rPr>
              <w:t xml:space="preserve">Households Assisted</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50</w:t>
            </w:r>
          </w:p>
        </w:tc>
        <w:tc>
          <w:tcPr>
            <w:vAlign w:val="center"/>
          </w:tcPr>
          <w:p>
            <w:pPr>
              <w:spacing w:beforeAutospacing="true" w:afterAutospacing="true"/>
              <w:jc w:val="left"/>
            </w:pPr>
            <w:r>
              <w:rPr>
                <w:rFonts w:ascii="Calibri" w:hAnsi="Calibri"/>
                <w:color w:val="000000"/>
                <w:sz w:val="22"/>
              </w:rPr>
              <w:t xml:space="preserve">1614</w:t>
            </w:r>
          </w:p>
        </w:tc>
        <w:tc>
          <w:tcPr>
            <w:vAlign w:val="center"/>
          </w:tcPr>
          <w:p>
            <w:pPr>
              <w:spacing w:beforeAutospacing="true" w:afterAutospacing="true"/>
              <w:jc w:val="left"/>
            </w:pPr>
            <w:r>
              <w:rPr>
                <w:rFonts w:ascii="Calibri" w:hAnsi="Calibri"/>
                <w:color w:val="000000"/>
                <w:sz w:val="22"/>
              </w:rPr>
              <w:t xml:space="preserve">     3,228.00%</w:t>
            </w:r>
          </w:p>
        </w:tc>
      </w:tr>
      <w:tr>
        <w:trPr>
          <w:cantSplit w:val="true"/>
        </w:trPr>
        <w:tc>
          <w:tcPr>
            <w:vAlign w:val="center"/>
          </w:tcPr>
          <w:p>
            <w:pPr>
              <w:spacing w:beforeAutospacing="true" w:afterAutospacing="true"/>
              <w:jc w:val="left"/>
            </w:pPr>
            <w:r>
              <w:rPr>
                <w:rFonts w:ascii="Calibri" w:hAnsi="Calibri"/>
                <w:color w:val="000000"/>
                <w:sz w:val="22"/>
              </w:rPr>
              <w:t xml:space="preserve">Provide housing access for persons with HIV/AIDS</w:t>
            </w:r>
          </w:p>
        </w:tc>
        <w:tc>
          <w:tcPr>
            <w:vAlign w:val="center"/>
          </w:tcPr>
          <w:p>
            <w:pPr>
              <w:spacing w:beforeAutospacing="true" w:afterAutospacing="true"/>
              <w:jc w:val="left"/>
            </w:pPr>
            <w:r>
              <w:rPr>
                <w:rFonts w:ascii="Calibri" w:hAnsi="Calibri"/>
                <w:color w:val="000000"/>
                <w:sz w:val="22"/>
              </w:rPr>
              <w:t xml:space="preserve">Affordable Housing</w:t>
            </w:r>
            <w:r>
              <w:rPr>
                <w:rFonts w:ascii="Calibri" w:hAnsi="Calibri"/>
                <w:color w:val="000000"/>
                <w:sz w:val="22"/>
              </w:rPr>
              <w:br/>
              <w:t xml:space="preserve"/>
            </w:r>
            <w:r>
              <w:rPr>
                <w:rFonts w:ascii="Calibri" w:hAnsi="Calibri"/>
                <w:color w:val="000000"/>
                <w:sz w:val="22"/>
              </w:rPr>
              <w:t xml:space="preserve">Non-Homeless Special Needs</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Tenant-based rental assistance / Rapid Rehousing</w:t>
            </w:r>
          </w:p>
        </w:tc>
        <w:tc>
          <w:tcPr>
            <w:vAlign w:val="center"/>
          </w:tcPr>
          <w:p>
            <w:pPr>
              <w:spacing w:beforeAutospacing="true" w:afterAutospacing="true"/>
              <w:jc w:val="left"/>
            </w:pPr>
            <w:r>
              <w:rPr>
                <w:rFonts w:ascii="Calibri" w:hAnsi="Calibri"/>
                <w:color w:val="000000"/>
                <w:sz w:val="22"/>
              </w:rPr>
              <w:t xml:space="preserve">Households Assisted</w:t>
            </w:r>
          </w:p>
        </w:tc>
        <w:tc>
          <w:tcPr>
            <w:vAlign w:val="center"/>
          </w:tcPr>
          <w:p>
            <w:pPr>
              <w:spacing w:beforeAutospacing="true" w:afterAutospacing="true"/>
              <w:jc w:val="left"/>
            </w:pPr>
            <w:r>
              <w:rPr>
                <w:rFonts w:ascii="Calibri" w:hAnsi="Calibri"/>
                <w:color w:val="000000"/>
                <w:sz w:val="22"/>
              </w:rPr>
              <w:t xml:space="preserve">495</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0.00%</w:t>
            </w:r>
          </w:p>
        </w:tc>
        <w:tc>
          <w:tcPr>
            <w:vAlign w:val="center"/>
          </w:tcPr>
          <w:p>
            <w:pPr>
              <w:spacing w:beforeAutospacing="true" w:afterAutospacing="true"/>
              <w:jc w:val="left"/>
            </w:pPr>
            <w:r>
              <w:rPr>
                <w:rFonts w:ascii="Calibri" w:hAnsi="Calibri"/>
                <w:color w:val="000000"/>
                <w:sz w:val="22"/>
              </w:rPr>
              <w:t xml:space="preserve">99</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0.00%</w:t>
            </w:r>
          </w:p>
        </w:tc>
      </w:tr>
      <w:tr>
        <w:trPr>
          <w:cantSplit w:val="true"/>
        </w:trPr>
        <w:tc>
          <w:tcPr>
            <w:vAlign w:val="center"/>
          </w:tcPr>
          <w:p>
            <w:pPr>
              <w:spacing w:beforeAutospacing="true" w:afterAutospacing="true"/>
              <w:jc w:val="left"/>
            </w:pPr>
            <w:r>
              <w:rPr>
                <w:rFonts w:ascii="Calibri" w:hAnsi="Calibri"/>
                <w:color w:val="000000"/>
                <w:sz w:val="22"/>
              </w:rPr>
              <w:t xml:space="preserve">Provide housing access for persons with HIV/AIDS</w:t>
            </w:r>
          </w:p>
        </w:tc>
        <w:tc>
          <w:tcPr>
            <w:vAlign w:val="center"/>
          </w:tcPr>
          <w:p>
            <w:pPr>
              <w:spacing w:beforeAutospacing="true" w:afterAutospacing="true"/>
              <w:jc w:val="left"/>
            </w:pPr>
            <w:r>
              <w:rPr>
                <w:rFonts w:ascii="Calibri" w:hAnsi="Calibri"/>
                <w:color w:val="000000"/>
                <w:sz w:val="22"/>
              </w:rPr>
              <w:t xml:space="preserve">Affordable Housing</w:t>
            </w:r>
            <w:r>
              <w:rPr>
                <w:rFonts w:ascii="Calibri" w:hAnsi="Calibri"/>
                <w:color w:val="000000"/>
                <w:sz w:val="22"/>
              </w:rPr>
              <w:br/>
              <w:t xml:space="preserve"/>
            </w:r>
            <w:r>
              <w:rPr>
                <w:rFonts w:ascii="Calibri" w:hAnsi="Calibri"/>
                <w:color w:val="000000"/>
                <w:sz w:val="22"/>
              </w:rPr>
              <w:t xml:space="preserve">Non-Homeless Special Needs</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Homelessness Prevention</w:t>
            </w:r>
          </w:p>
        </w:tc>
        <w:tc>
          <w:tcPr>
            <w:vAlign w:val="center"/>
          </w:tcPr>
          <w:p>
            <w:pPr>
              <w:spacing w:beforeAutospacing="true" w:afterAutospacing="true"/>
              <w:jc w:val="left"/>
            </w:pPr>
            <w:r>
              <w:rPr>
                <w:rFonts w:ascii="Calibri" w:hAnsi="Calibri"/>
                <w:color w:val="000000"/>
                <w:sz w:val="22"/>
              </w:rPr>
              <w:t xml:space="preserve">Persons Assisted</w:t>
            </w:r>
          </w:p>
        </w:tc>
        <w:tc>
          <w:tcPr>
            <w:vAlign w:val="center"/>
          </w:tcPr>
          <w:p>
            <w:pPr>
              <w:spacing w:beforeAutospacing="true" w:afterAutospacing="true"/>
              <w:jc w:val="left"/>
            </w:pPr>
            <w:r>
              <w:rPr>
                <w:rFonts w:ascii="Calibri" w:hAnsi="Calibri"/>
                <w:color w:val="000000"/>
                <w:sz w:val="22"/>
              </w:rPr>
              <w:t xml:space="preserve">100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0.00%</w:t>
            </w:r>
          </w:p>
        </w:tc>
        <w:tc>
          <w:tcPr>
            <w:vAlign w:val="center"/>
          </w:tcPr>
          <w:p>
            <w:pPr>
              <w:spacing w:beforeAutospacing="true" w:afterAutospacing="true"/>
              <w:jc w:val="left"/>
            </w:pPr>
            <w:r>
              <w:rPr>
                <w:rFonts w:ascii="Calibri" w:hAnsi="Calibri"/>
                <w:color w:val="000000"/>
                <w:sz w:val="22"/>
              </w:rPr>
              <w:t xml:space="preserve">20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0.00%</w:t>
            </w:r>
          </w:p>
        </w:tc>
      </w:tr>
      <w:tr>
        <w:trPr>
          <w:cantSplit w:val="true"/>
        </w:trPr>
        <w:tc>
          <w:tcPr>
            <w:vAlign w:val="center"/>
          </w:tcPr>
          <w:p>
            <w:pPr>
              <w:spacing w:beforeAutospacing="true" w:afterAutospacing="true"/>
              <w:jc w:val="left"/>
            </w:pPr>
            <w:r>
              <w:rPr>
                <w:rFonts w:ascii="Calibri" w:hAnsi="Calibri"/>
                <w:color w:val="000000"/>
                <w:sz w:val="22"/>
              </w:rPr>
              <w:t xml:space="preserve">Provide housing access for persons with HIV/AIDS</w:t>
            </w:r>
          </w:p>
        </w:tc>
        <w:tc>
          <w:tcPr>
            <w:vAlign w:val="center"/>
          </w:tcPr>
          <w:p>
            <w:pPr>
              <w:spacing w:beforeAutospacing="true" w:afterAutospacing="true"/>
              <w:jc w:val="left"/>
            </w:pPr>
            <w:r>
              <w:rPr>
                <w:rFonts w:ascii="Calibri" w:hAnsi="Calibri"/>
                <w:color w:val="000000"/>
                <w:sz w:val="22"/>
              </w:rPr>
              <w:t xml:space="preserve">Affordable Housing</w:t>
            </w:r>
            <w:r>
              <w:rPr>
                <w:rFonts w:ascii="Calibri" w:hAnsi="Calibri"/>
                <w:color w:val="000000"/>
                <w:sz w:val="22"/>
              </w:rPr>
              <w:br/>
              <w:t xml:space="preserve"/>
            </w:r>
            <w:r>
              <w:rPr>
                <w:rFonts w:ascii="Calibri" w:hAnsi="Calibri"/>
                <w:color w:val="000000"/>
                <w:sz w:val="22"/>
              </w:rPr>
              <w:t xml:space="preserve">Non-Homeless Special Needs</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HIV/AIDS Housing Operations</w:t>
            </w:r>
          </w:p>
        </w:tc>
        <w:tc>
          <w:tcPr>
            <w:vAlign w:val="center"/>
          </w:tcPr>
          <w:p>
            <w:pPr>
              <w:spacing w:beforeAutospacing="true" w:afterAutospacing="true"/>
              <w:jc w:val="left"/>
            </w:pPr>
            <w:r>
              <w:rPr>
                <w:rFonts w:ascii="Calibri" w:hAnsi="Calibri"/>
                <w:color w:val="000000"/>
                <w:sz w:val="22"/>
              </w:rPr>
              <w:t xml:space="preserve">Household Housing Unit</w:t>
            </w:r>
          </w:p>
        </w:tc>
        <w:tc>
          <w:tcPr>
            <w:vAlign w:val="center"/>
          </w:tcPr>
          <w:p>
            <w:pPr>
              <w:spacing w:beforeAutospacing="true" w:afterAutospacing="true"/>
              <w:jc w:val="left"/>
            </w:pPr>
            <w:r>
              <w:rPr>
                <w:rFonts w:ascii="Calibri" w:hAnsi="Calibri"/>
                <w:color w:val="000000"/>
                <w:sz w:val="22"/>
              </w:rPr>
              <w:t xml:space="preserve">595</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0.00%</w:t>
            </w:r>
          </w:p>
        </w:tc>
        <w:tc>
          <w:tcPr>
            <w:vAlign w:val="center"/>
          </w:tcPr>
          <w:p>
            <w:pPr>
              <w:spacing w:beforeAutospacing="true" w:afterAutospacing="true"/>
              <w:jc w:val="left"/>
            </w:pPr>
            <w:r>
              <w:rPr>
                <w:rFonts w:ascii="Calibri" w:hAnsi="Calibri"/>
                <w:color w:val="000000"/>
                <w:sz w:val="22"/>
              </w:rPr>
              <w:t xml:space="preserve">20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0.00%</w:t>
            </w:r>
          </w:p>
        </w:tc>
      </w:tr>
      <w:tr>
        <w:trPr>
          <w:cantSplit w:val="true"/>
        </w:trPr>
        <w:tc>
          <w:tcPr>
            <w:vAlign w:val="center"/>
          </w:tcPr>
          <w:p>
            <w:pPr>
              <w:spacing w:beforeAutospacing="true" w:afterAutospacing="true"/>
              <w:jc w:val="left"/>
            </w:pPr>
            <w:r>
              <w:rPr>
                <w:rFonts w:ascii="Calibri" w:hAnsi="Calibri"/>
                <w:color w:val="000000"/>
                <w:sz w:val="22"/>
              </w:rPr>
              <w:t xml:space="preserve">Provide housing assistance to elderly residents</w:t>
            </w:r>
          </w:p>
        </w:tc>
        <w:tc>
          <w:tcPr>
            <w:vAlign w:val="center"/>
          </w:tcPr>
          <w:p>
            <w:pPr>
              <w:spacing w:beforeAutospacing="true" w:afterAutospacing="true"/>
              <w:jc w:val="left"/>
            </w:pPr>
            <w:r>
              <w:rPr>
                <w:rFonts w:ascii="Calibri" w:hAnsi="Calibri"/>
                <w:color w:val="000000"/>
                <w:sz w:val="22"/>
              </w:rPr>
              <w:t xml:space="preserve">Affordable Housing</w:t>
            </w:r>
            <w:r>
              <w:rPr>
                <w:rFonts w:ascii="Calibri" w:hAnsi="Calibri"/>
                <w:color w:val="000000"/>
                <w:sz w:val="22"/>
              </w:rPr>
              <w:br/>
              <w:t xml:space="preserve"/>
            </w:r>
            <w:r>
              <w:rPr>
                <w:rFonts w:ascii="Calibri" w:hAnsi="Calibri"/>
                <w:color w:val="000000"/>
                <w:sz w:val="22"/>
              </w:rPr>
              <w:t xml:space="preserve">Non-Homeless Special Needs</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Rental units constructed</w:t>
            </w:r>
          </w:p>
        </w:tc>
        <w:tc>
          <w:tcPr>
            <w:vAlign w:val="center"/>
          </w:tcPr>
          <w:p>
            <w:pPr>
              <w:spacing w:beforeAutospacing="true" w:afterAutospacing="true"/>
              <w:jc w:val="left"/>
            </w:pPr>
            <w:r>
              <w:rPr>
                <w:rFonts w:ascii="Calibri" w:hAnsi="Calibri"/>
                <w:color w:val="000000"/>
                <w:sz w:val="22"/>
              </w:rPr>
              <w:t xml:space="preserve">Household Housing Unit</w:t>
            </w:r>
          </w:p>
        </w:tc>
        <w:tc>
          <w:tcPr>
            <w:vAlign w:val="center"/>
          </w:tcPr>
          <w:p>
            <w:pPr>
              <w:spacing w:beforeAutospacing="true" w:afterAutospacing="true"/>
              <w:jc w:val="left"/>
            </w:pPr>
            <w:r>
              <w:rPr>
                <w:rFonts w:ascii="Calibri" w:hAnsi="Calibri"/>
                <w:color w:val="000000"/>
                <w:sz w:val="22"/>
              </w:rPr>
              <w:t xml:space="preserve">200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0.00%</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r>
      <w:tr>
        <w:trPr>
          <w:cantSplit w:val="true"/>
        </w:trPr>
        <w:tc>
          <w:tcPr>
            <w:vAlign w:val="center"/>
          </w:tcPr>
          <w:p>
            <w:pPr>
              <w:spacing w:beforeAutospacing="true" w:afterAutospacing="true"/>
              <w:jc w:val="left"/>
            </w:pPr>
            <w:r>
              <w:rPr>
                <w:rFonts w:ascii="Calibri" w:hAnsi="Calibri"/>
                <w:color w:val="000000"/>
                <w:sz w:val="22"/>
              </w:rPr>
              <w:t xml:space="preserve">Provide housing assistance to elderly residents</w:t>
            </w:r>
          </w:p>
        </w:tc>
        <w:tc>
          <w:tcPr>
            <w:vAlign w:val="center"/>
          </w:tcPr>
          <w:p>
            <w:pPr>
              <w:spacing w:beforeAutospacing="true" w:afterAutospacing="true"/>
              <w:jc w:val="left"/>
            </w:pPr>
            <w:r>
              <w:rPr>
                <w:rFonts w:ascii="Calibri" w:hAnsi="Calibri"/>
                <w:color w:val="000000"/>
                <w:sz w:val="22"/>
              </w:rPr>
              <w:t xml:space="preserve">Affordable Housing</w:t>
            </w:r>
            <w:r>
              <w:rPr>
                <w:rFonts w:ascii="Calibri" w:hAnsi="Calibri"/>
                <w:color w:val="000000"/>
                <w:sz w:val="22"/>
              </w:rPr>
              <w:br/>
              <w:t xml:space="preserve"/>
            </w:r>
            <w:r>
              <w:rPr>
                <w:rFonts w:ascii="Calibri" w:hAnsi="Calibri"/>
                <w:color w:val="000000"/>
                <w:sz w:val="22"/>
              </w:rPr>
              <w:t xml:space="preserve">Non-Homeless Special Needs</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Homeowner Housing Rehabilitated</w:t>
            </w:r>
          </w:p>
        </w:tc>
        <w:tc>
          <w:tcPr>
            <w:vAlign w:val="center"/>
          </w:tcPr>
          <w:p>
            <w:pPr>
              <w:spacing w:beforeAutospacing="true" w:afterAutospacing="true"/>
              <w:jc w:val="left"/>
            </w:pPr>
            <w:r>
              <w:rPr>
                <w:rFonts w:ascii="Calibri" w:hAnsi="Calibri"/>
                <w:color w:val="000000"/>
                <w:sz w:val="22"/>
              </w:rPr>
              <w:t xml:space="preserve">Household Housing Unit</w:t>
            </w:r>
          </w:p>
        </w:tc>
        <w:tc>
          <w:tcPr>
            <w:vAlign w:val="center"/>
          </w:tcPr>
          <w:p>
            <w:pPr>
              <w:spacing w:beforeAutospacing="true" w:afterAutospacing="true"/>
              <w:jc w:val="left"/>
            </w:pPr>
            <w:r>
              <w:rPr>
                <w:rFonts w:ascii="Calibri" w:hAnsi="Calibri"/>
                <w:color w:val="000000"/>
                <w:sz w:val="22"/>
              </w:rPr>
              <w:t xml:space="preserve">1500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0.00%</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r>
      <w:tr>
        <w:trPr>
          <w:cantSplit w:val="true"/>
        </w:trPr>
        <w:tc>
          <w:tcPr>
            <w:vAlign w:val="center"/>
          </w:tcPr>
          <w:p>
            <w:pPr>
              <w:spacing w:beforeAutospacing="true" w:afterAutospacing="true"/>
              <w:jc w:val="left"/>
            </w:pPr>
            <w:r>
              <w:rPr>
                <w:rFonts w:ascii="Calibri" w:hAnsi="Calibri"/>
                <w:color w:val="000000"/>
                <w:sz w:val="22"/>
              </w:rPr>
              <w:t xml:space="preserve">Provide housing for special needs populations</w:t>
            </w:r>
          </w:p>
        </w:tc>
        <w:tc>
          <w:tcPr>
            <w:vAlign w:val="center"/>
          </w:tcPr>
          <w:p>
            <w:pPr>
              <w:spacing w:beforeAutospacing="true" w:afterAutospacing="true"/>
              <w:jc w:val="left"/>
            </w:pPr>
            <w:r>
              <w:rPr>
                <w:rFonts w:ascii="Calibri" w:hAnsi="Calibri"/>
                <w:color w:val="000000"/>
                <w:sz w:val="22"/>
              </w:rPr>
              <w:t xml:space="preserve">Affordable Housing</w:t>
            </w:r>
            <w:r>
              <w:rPr>
                <w:rFonts w:ascii="Calibri" w:hAnsi="Calibri"/>
                <w:color w:val="000000"/>
                <w:sz w:val="22"/>
              </w:rPr>
              <w:br/>
              <w:t xml:space="preserve"/>
            </w:r>
            <w:r>
              <w:rPr>
                <w:rFonts w:ascii="Calibri" w:hAnsi="Calibri"/>
                <w:color w:val="000000"/>
                <w:sz w:val="22"/>
              </w:rPr>
              <w:t xml:space="preserve">Non-Homeless Special Needs</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Public service activities other than Low/Moderate Income Housing Benefit</w:t>
            </w:r>
          </w:p>
        </w:tc>
        <w:tc>
          <w:tcPr>
            <w:vAlign w:val="center"/>
          </w:tcPr>
          <w:p>
            <w:pPr>
              <w:spacing w:beforeAutospacing="true" w:afterAutospacing="true"/>
              <w:jc w:val="left"/>
            </w:pPr>
            <w:r>
              <w:rPr>
                <w:rFonts w:ascii="Calibri" w:hAnsi="Calibri"/>
                <w:color w:val="000000"/>
                <w:sz w:val="22"/>
              </w:rPr>
              <w:t xml:space="preserve">Persons Assisted</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1230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0.00%</w:t>
            </w:r>
          </w:p>
        </w:tc>
      </w:tr>
      <w:tr>
        <w:trPr>
          <w:cantSplit w:val="true"/>
        </w:trPr>
        <w:tc>
          <w:tcPr>
            <w:vAlign w:val="center"/>
          </w:tcPr>
          <w:p>
            <w:pPr>
              <w:spacing w:beforeAutospacing="true" w:afterAutospacing="true"/>
              <w:jc w:val="left"/>
            </w:pPr>
            <w:r>
              <w:rPr>
                <w:rFonts w:ascii="Calibri" w:hAnsi="Calibri"/>
                <w:color w:val="000000"/>
                <w:sz w:val="22"/>
              </w:rPr>
              <w:t xml:space="preserve">Provide housing for special needs populations</w:t>
            </w:r>
          </w:p>
        </w:tc>
        <w:tc>
          <w:tcPr>
            <w:vAlign w:val="center"/>
          </w:tcPr>
          <w:p>
            <w:pPr>
              <w:spacing w:beforeAutospacing="true" w:afterAutospacing="true"/>
              <w:jc w:val="left"/>
            </w:pPr>
            <w:r>
              <w:rPr>
                <w:rFonts w:ascii="Calibri" w:hAnsi="Calibri"/>
                <w:color w:val="000000"/>
                <w:sz w:val="22"/>
              </w:rPr>
              <w:t xml:space="preserve">Affordable Housing</w:t>
            </w:r>
            <w:r>
              <w:rPr>
                <w:rFonts w:ascii="Calibri" w:hAnsi="Calibri"/>
                <w:color w:val="000000"/>
                <w:sz w:val="22"/>
              </w:rPr>
              <w:br/>
              <w:t xml:space="preserve"/>
            </w:r>
            <w:r>
              <w:rPr>
                <w:rFonts w:ascii="Calibri" w:hAnsi="Calibri"/>
                <w:color w:val="000000"/>
                <w:sz w:val="22"/>
              </w:rPr>
              <w:t xml:space="preserve">Non-Homeless Special Needs</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Tenant-based rental assistance / Rapid Rehousing</w:t>
            </w:r>
          </w:p>
        </w:tc>
        <w:tc>
          <w:tcPr>
            <w:vAlign w:val="center"/>
          </w:tcPr>
          <w:p>
            <w:pPr>
              <w:spacing w:beforeAutospacing="true" w:afterAutospacing="true"/>
              <w:jc w:val="left"/>
            </w:pPr>
            <w:r>
              <w:rPr>
                <w:rFonts w:ascii="Calibri" w:hAnsi="Calibri"/>
                <w:color w:val="000000"/>
                <w:sz w:val="22"/>
              </w:rPr>
              <w:t xml:space="preserve">Households Assisted</w:t>
            </w:r>
          </w:p>
        </w:tc>
        <w:tc>
          <w:tcPr>
            <w:vAlign w:val="center"/>
          </w:tcPr>
          <w:p>
            <w:pPr>
              <w:spacing w:beforeAutospacing="true" w:afterAutospacing="true"/>
              <w:jc w:val="left"/>
            </w:pPr>
            <w:r>
              <w:rPr>
                <w:rFonts w:ascii="Calibri" w:hAnsi="Calibri"/>
                <w:color w:val="000000"/>
                <w:sz w:val="22"/>
              </w:rPr>
              <w:t xml:space="preserve">1370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0.00%</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r>
      <w:tr>
        <w:trPr>
          <w:cantSplit w:val="true"/>
        </w:trPr>
        <w:tc>
          <w:tcPr>
            <w:vAlign w:val="center"/>
          </w:tcPr>
          <w:p>
            <w:pPr>
              <w:spacing w:beforeAutospacing="true" w:afterAutospacing="true"/>
              <w:jc w:val="left"/>
            </w:pPr>
            <w:r>
              <w:rPr>
                <w:rFonts w:ascii="Calibri" w:hAnsi="Calibri"/>
                <w:color w:val="000000"/>
                <w:sz w:val="22"/>
              </w:rPr>
              <w:t xml:space="preserve">Provide housing for special needs populations</w:t>
            </w:r>
          </w:p>
        </w:tc>
        <w:tc>
          <w:tcPr>
            <w:vAlign w:val="center"/>
          </w:tcPr>
          <w:p>
            <w:pPr>
              <w:spacing w:beforeAutospacing="true" w:afterAutospacing="true"/>
              <w:jc w:val="left"/>
            </w:pPr>
            <w:r>
              <w:rPr>
                <w:rFonts w:ascii="Calibri" w:hAnsi="Calibri"/>
                <w:color w:val="000000"/>
                <w:sz w:val="22"/>
              </w:rPr>
              <w:t xml:space="preserve">Affordable Housing</w:t>
            </w:r>
            <w:r>
              <w:rPr>
                <w:rFonts w:ascii="Calibri" w:hAnsi="Calibri"/>
                <w:color w:val="000000"/>
                <w:sz w:val="22"/>
              </w:rPr>
              <w:br/>
              <w:t xml:space="preserve"/>
            </w:r>
            <w:r>
              <w:rPr>
                <w:rFonts w:ascii="Calibri" w:hAnsi="Calibri"/>
                <w:color w:val="000000"/>
                <w:sz w:val="22"/>
              </w:rPr>
              <w:t xml:space="preserve">Non-Homeless Special Needs</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Homelessness Prevention</w:t>
            </w:r>
          </w:p>
        </w:tc>
        <w:tc>
          <w:tcPr>
            <w:vAlign w:val="center"/>
          </w:tcPr>
          <w:p>
            <w:pPr>
              <w:spacing w:beforeAutospacing="true" w:afterAutospacing="true"/>
              <w:jc w:val="left"/>
            </w:pPr>
            <w:r>
              <w:rPr>
                <w:rFonts w:ascii="Calibri" w:hAnsi="Calibri"/>
                <w:color w:val="000000"/>
                <w:sz w:val="22"/>
              </w:rPr>
              <w:t xml:space="preserve">Persons Assisted</w:t>
            </w:r>
          </w:p>
        </w:tc>
        <w:tc>
          <w:tcPr>
            <w:vAlign w:val="center"/>
          </w:tcPr>
          <w:p>
            <w:pPr>
              <w:spacing w:beforeAutospacing="true" w:afterAutospacing="true"/>
              <w:jc w:val="left"/>
            </w:pPr>
            <w:r>
              <w:rPr>
                <w:rFonts w:ascii="Calibri" w:hAnsi="Calibri"/>
                <w:color w:val="000000"/>
                <w:sz w:val="22"/>
              </w:rPr>
              <w:t xml:space="preserve">100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0.00%</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r>
      <w:tr>
        <w:trPr>
          <w:cantSplit w:val="true"/>
        </w:trPr>
        <w:tc>
          <w:tcPr>
            <w:vAlign w:val="center"/>
          </w:tcPr>
          <w:p>
            <w:pPr>
              <w:spacing w:beforeAutospacing="true" w:afterAutospacing="true"/>
              <w:jc w:val="left"/>
            </w:pPr>
            <w:r>
              <w:rPr>
                <w:rFonts w:ascii="Calibri" w:hAnsi="Calibri"/>
                <w:color w:val="000000"/>
                <w:sz w:val="22"/>
              </w:rPr>
              <w:t xml:space="preserve">Provide housing for special needs populations</w:t>
            </w:r>
          </w:p>
        </w:tc>
        <w:tc>
          <w:tcPr>
            <w:vAlign w:val="center"/>
          </w:tcPr>
          <w:p>
            <w:pPr>
              <w:spacing w:beforeAutospacing="true" w:afterAutospacing="true"/>
              <w:jc w:val="left"/>
            </w:pPr>
            <w:r>
              <w:rPr>
                <w:rFonts w:ascii="Calibri" w:hAnsi="Calibri"/>
                <w:color w:val="000000"/>
                <w:sz w:val="22"/>
              </w:rPr>
              <w:t xml:space="preserve">Affordable Housing</w:t>
            </w:r>
            <w:r>
              <w:rPr>
                <w:rFonts w:ascii="Calibri" w:hAnsi="Calibri"/>
                <w:color w:val="000000"/>
                <w:sz w:val="22"/>
              </w:rPr>
              <w:br/>
              <w:t xml:space="preserve"/>
            </w:r>
            <w:r>
              <w:rPr>
                <w:rFonts w:ascii="Calibri" w:hAnsi="Calibri"/>
                <w:color w:val="000000"/>
                <w:sz w:val="22"/>
              </w:rPr>
              <w:t xml:space="preserve">Non-Homeless Special Needs</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Housing for Homeless added</w:t>
            </w:r>
          </w:p>
        </w:tc>
        <w:tc>
          <w:tcPr>
            <w:vAlign w:val="center"/>
          </w:tcPr>
          <w:p>
            <w:pPr>
              <w:spacing w:beforeAutospacing="true" w:afterAutospacing="true"/>
              <w:jc w:val="left"/>
            </w:pPr>
            <w:r>
              <w:rPr>
                <w:rFonts w:ascii="Calibri" w:hAnsi="Calibri"/>
                <w:color w:val="000000"/>
                <w:sz w:val="22"/>
              </w:rPr>
              <w:t xml:space="preserve">Household Housing Unit</w:t>
            </w:r>
          </w:p>
        </w:tc>
        <w:tc>
          <w:tcPr>
            <w:vAlign w:val="center"/>
          </w:tcPr>
          <w:p>
            <w:pPr>
              <w:spacing w:beforeAutospacing="true" w:afterAutospacing="true"/>
              <w:jc w:val="left"/>
            </w:pPr>
            <w:r>
              <w:rPr>
                <w:rFonts w:ascii="Calibri" w:hAnsi="Calibri"/>
                <w:color w:val="000000"/>
                <w:sz w:val="22"/>
              </w:rPr>
              <w:t xml:space="preserve">200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0.00%</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r>
      <w:tr>
        <w:trPr>
          <w:cantSplit w:val="true"/>
        </w:trPr>
        <w:tc>
          <w:tcPr>
            <w:vAlign w:val="center"/>
          </w:tcPr>
          <w:p>
            <w:pPr>
              <w:spacing w:beforeAutospacing="true" w:afterAutospacing="true"/>
              <w:jc w:val="left"/>
            </w:pPr>
            <w:r>
              <w:rPr>
                <w:rFonts w:ascii="Calibri" w:hAnsi="Calibri"/>
                <w:color w:val="000000"/>
                <w:sz w:val="22"/>
              </w:rPr>
              <w:t xml:space="preserve">Reduce the infant mortality rate</w:t>
            </w:r>
          </w:p>
        </w:tc>
        <w:tc>
          <w:tcPr>
            <w:vAlign w:val="center"/>
          </w:tcPr>
          <w:p>
            <w:pPr>
              <w:spacing w:beforeAutospacing="true" w:afterAutospacing="true"/>
              <w:jc w:val="left"/>
            </w:pPr>
            <w:r>
              <w:rPr>
                <w:rFonts w:ascii="Calibri" w:hAnsi="Calibri"/>
                <w:color w:val="000000"/>
                <w:sz w:val="22"/>
              </w:rPr>
              <w:t xml:space="preserve">Non-Homeless Special Needs</w:t>
            </w:r>
            <w:r>
              <w:rPr>
                <w:rFonts w:ascii="Calibri" w:hAnsi="Calibri"/>
                <w:color w:val="000000"/>
                <w:sz w:val="22"/>
              </w:rPr>
              <w:br/>
              <w:t xml:space="preserve"/>
            </w:r>
            <w:r>
              <w:rPr>
                <w:rFonts w:ascii="Calibri" w:hAnsi="Calibri"/>
                <w:color w:val="000000"/>
                <w:sz w:val="22"/>
              </w:rPr>
              <w:t xml:space="preserve">Public Health</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Public service activities other than Low/Moderate Income Housing Benefit</w:t>
            </w:r>
          </w:p>
        </w:tc>
        <w:tc>
          <w:tcPr>
            <w:vAlign w:val="center"/>
          </w:tcPr>
          <w:p>
            <w:pPr>
              <w:spacing w:beforeAutospacing="true" w:afterAutospacing="true"/>
              <w:jc w:val="left"/>
            </w:pPr>
            <w:r>
              <w:rPr>
                <w:rFonts w:ascii="Calibri" w:hAnsi="Calibri"/>
                <w:color w:val="000000"/>
                <w:sz w:val="22"/>
              </w:rPr>
              <w:t xml:space="preserve">Persons Assisted</w:t>
            </w:r>
          </w:p>
        </w:tc>
        <w:tc>
          <w:tcPr>
            <w:vAlign w:val="center"/>
          </w:tcPr>
          <w:p>
            <w:pPr>
              <w:spacing w:beforeAutospacing="true" w:afterAutospacing="true"/>
              <w:jc w:val="left"/>
            </w:pPr>
            <w:r>
              <w:rPr>
                <w:rFonts w:ascii="Calibri" w:hAnsi="Calibri"/>
                <w:color w:val="000000"/>
                <w:sz w:val="22"/>
              </w:rPr>
              <w:t xml:space="preserve">500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0.00%</w:t>
            </w:r>
          </w:p>
        </w:tc>
        <w:tc>
          <w:tcPr>
            <w:vAlign w:val="center"/>
          </w:tcPr>
          <w:p>
            <w:pPr>
              <w:spacing w:beforeAutospacing="true" w:afterAutospacing="true"/>
              <w:jc w:val="left"/>
            </w:pPr>
            <w:r>
              <w:rPr>
                <w:rFonts w:ascii="Calibri" w:hAnsi="Calibri"/>
                <w:color w:val="000000"/>
                <w:sz w:val="22"/>
              </w:rPr>
              <w:t xml:space="preserve">130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0.00%</w:t>
            </w:r>
          </w:p>
        </w:tc>
      </w:tr>
      <w:tr>
        <w:trPr>
          <w:cantSplit w:val="true"/>
        </w:trPr>
        <w:tc>
          <w:tcPr>
            <w:vAlign w:val="center"/>
          </w:tcPr>
          <w:p>
            <w:pPr>
              <w:spacing w:beforeAutospacing="true" w:afterAutospacing="true"/>
              <w:jc w:val="left"/>
            </w:pPr>
            <w:r>
              <w:rPr>
                <w:rFonts w:ascii="Calibri" w:hAnsi="Calibri"/>
                <w:color w:val="000000"/>
                <w:sz w:val="22"/>
              </w:rPr>
              <w:t xml:space="preserve">Reduce the infant mortality rate</w:t>
            </w:r>
          </w:p>
        </w:tc>
        <w:tc>
          <w:tcPr>
            <w:vAlign w:val="center"/>
          </w:tcPr>
          <w:p>
            <w:pPr>
              <w:spacing w:beforeAutospacing="true" w:afterAutospacing="true"/>
              <w:jc w:val="left"/>
            </w:pPr>
            <w:r>
              <w:rPr>
                <w:rFonts w:ascii="Calibri" w:hAnsi="Calibri"/>
                <w:color w:val="000000"/>
                <w:sz w:val="22"/>
              </w:rPr>
              <w:t xml:space="preserve">Non-Homeless Special Needs</w:t>
            </w:r>
            <w:r>
              <w:rPr>
                <w:rFonts w:ascii="Calibri" w:hAnsi="Calibri"/>
                <w:color w:val="000000"/>
                <w:sz w:val="22"/>
              </w:rPr>
              <w:br/>
              <w:t xml:space="preserve"/>
            </w:r>
            <w:r>
              <w:rPr>
                <w:rFonts w:ascii="Calibri" w:hAnsi="Calibri"/>
                <w:color w:val="000000"/>
                <w:sz w:val="22"/>
              </w:rPr>
              <w:t xml:space="preserve">Public Health</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Public service activities for Low/Moderate Income Housing Benefit</w:t>
            </w:r>
          </w:p>
        </w:tc>
        <w:tc>
          <w:tcPr>
            <w:vAlign w:val="center"/>
          </w:tcPr>
          <w:p>
            <w:pPr>
              <w:spacing w:beforeAutospacing="true" w:afterAutospacing="true"/>
              <w:jc w:val="left"/>
            </w:pPr>
            <w:r>
              <w:rPr>
                <w:rFonts w:ascii="Calibri" w:hAnsi="Calibri"/>
                <w:color w:val="000000"/>
                <w:sz w:val="22"/>
              </w:rPr>
              <w:t xml:space="preserve">Households Assisted</w:t>
            </w:r>
          </w:p>
        </w:tc>
        <w:tc>
          <w:tcPr>
            <w:vAlign w:val="center"/>
          </w:tcPr>
          <w:p>
            <w:pPr>
              <w:spacing w:beforeAutospacing="true" w:afterAutospacing="true"/>
              <w:jc w:val="left"/>
            </w:pPr>
            <w:r>
              <w:rPr>
                <w:rFonts w:ascii="Calibri" w:hAnsi="Calibri"/>
                <w:color w:val="000000"/>
                <w:sz w:val="22"/>
              </w:rPr>
              <w:t xml:space="preserve">250</w:t>
            </w:r>
          </w:p>
        </w:tc>
        <w:tc>
          <w:tcPr>
            <w:vAlign w:val="center"/>
          </w:tcPr>
          <w:p>
            <w:pPr>
              <w:spacing w:beforeAutospacing="true" w:afterAutospacing="true"/>
              <w:jc w:val="left"/>
            </w:pPr>
            <w:r>
              <w:rPr>
                <w:rFonts w:ascii="Calibri" w:hAnsi="Calibri"/>
                <w:color w:val="000000"/>
                <w:sz w:val="22"/>
              </w:rPr>
              <w:t xml:space="preserve">1614</w:t>
            </w:r>
          </w:p>
        </w:tc>
        <w:tc>
          <w:tcPr>
            <w:vAlign w:val="center"/>
          </w:tcPr>
          <w:p>
            <w:pPr>
              <w:spacing w:beforeAutospacing="true" w:afterAutospacing="true"/>
              <w:jc w:val="left"/>
            </w:pPr>
            <w:r>
              <w:rPr>
                <w:rFonts w:ascii="Calibri" w:hAnsi="Calibri"/>
                <w:color w:val="000000"/>
                <w:sz w:val="22"/>
              </w:rPr>
              <w:t xml:space="preserve">       645.60%</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r>
    </w:tbl>
    <w:p>
      <w:pPr>
        <w:pStyle w:val="Caption"/>
        <w:jc w:val="center"/>
        <w:rPr>
          <w:rFonts w:asciiTheme="minorHAnsi" w:hAnsiTheme="minorHAnsi"/>
        </w:rPr>
      </w:pPr>
      <w:r>
        <w:rPr>
          <w:rFonts w:asciiTheme="minorHAnsi" w:hAnsiTheme="minorHAnsi"/>
        </w:rPr>
        <w:t xml:space="preserve">Table </w:t>
        <w:fldChar w:fldCharType="begin"/>
        <w:instrText xml:space="preserve"> SEQ Table \* ARABIC </w:instrText>
        <w:fldChar w:fldCharType="separate"/>
        <w:t>1</w:t>
        <w:fldChar w:fldCharType="end"/>
        <w:t xml:space="preserve"> - Accomplishments – Program Year &amp; Strategic Plan to Date</w:t>
      </w:r>
    </w:p>
    <w:p/>
    <w:p>
      <w:pPr>
        <w:spacing w:after="0" w:line="240" w:lineRule="auto"/>
      </w:pPr>
    </w:p>
    <w:p>
      <w:pPr>
        <w:keepNext/>
        <w:widowControl w:val="false"/>
        <w:rPr>
          <w:b/>
          <w:sz w:val="24"/>
          <w:szCs w:val="24"/>
        </w:rPr>
      </w:pPr>
      <w:r>
        <w:rPr>
          <w:b/>
          <w:sz w:val="24"/>
          <w:szCs w:val="24"/>
        </w:rPr>
        <w:t>Assess how the jurisdiction’s use of funds, particularly CDBG, addresses the priorities and specific objectives identified in the plan, giving special attention to the highest priority activities identified.</w:t>
      </w:r>
    </w:p>
    <w:p>
      <w:pPr>
        <w:keepNext/>
        <w:widowControl w:val="false"/>
        <w:spacing w:beforeAutospacing="true" w:afterAutospacing="true"/>
      </w:pPr>
      <w:r>
        <w:rPr/>
        <w:t xml:space="preserve">The result of the actions mentioned in the above section, the city completed a substantial amendment to the Consolidated Plan and spent a greater portion of it's CDBG resources on infrastructure such as road resurfacing, street lighting projects, and neighborhood facilities. </w:t>
      </w:r>
    </w:p>
    <w:p>
      <w:pPr>
        <w:keepNext/>
        <w:widowControl w:val="false"/>
        <w:spacing w:beforeAutospacing="true" w:afterAutospacing="true"/>
      </w:pPr>
      <w:r>
        <w:rPr/>
        <w:t xml:space="preserve"> </w:t>
      </w:r>
    </w:p>
    <w:p>
      <w:pPr>
        <w:keepNext/>
        <w:widowControl w:val="false"/>
        <w:spacing w:beforeAutospacing="true" w:afterAutospacing="true"/>
      </w:pPr>
      <w:r>
        <w:rPr/>
        <w:t xml:space="preserve"> </w:t>
      </w:r>
    </w:p>
    <w:p>
      <w:pPr>
        <w:keepNext/>
        <w:widowControl w:val="false"/>
        <w:spacing w:line="204" w:lineRule="auto"/>
        <w:rPr>
          <w:b/>
          <w:sz w:val="24"/>
          <w:szCs w:val="24"/>
        </w:rPr>
      </w:pPr>
    </w:p>
    <w:p>
      <w:pPr>
        <w:rPr>
          <w:b/>
          <w:i/>
          <w:sz w:val="26"/>
          <w:szCs w:val="26"/>
        </w:rPr>
        <w:sectPr>
          <w:footerReference w:type="default" r:id="rId8"/>
          <w:pgSz w:w="15840" w:h="12240" w:orient="landscape"/>
          <w:pgMar w:top="1440" w:right="1440" w:bottom="1440" w:left="1440" w:header="720" w:footer="720" w:gutter="0"/>
          <w:cols w:space="720"/>
          <w:docGrid w:linePitch="360"/>
        </w:sectPr>
      </w:pPr>
    </w:p>
    <w:p>
      <w:pPr>
        <w:pStyle w:val="Heading2"/>
        <w:rPr>
          <w:rFonts w:asciiTheme="minorHAnsi" w:hAnsiTheme="minorHAnsi"/>
          <w:i w:val="false"/>
        </w:rPr>
      </w:pPr>
      <w:bookmarkStart w:name="_Toc309810474" w:id="0"/>
      <w:r>
        <w:rPr>
          <w:rFonts w:asciiTheme="minorHAnsi" w:hAnsiTheme="minorHAnsi"/>
          <w:i w:val="false"/>
        </w:rPr>
        <w:t>CR-10 - Racial and Ethnic composition of families assisted</w:t>
      </w:r>
    </w:p>
    <w:p>
      <w:pPr>
        <w:keepNext/>
        <w:widowControl w:val="false"/>
        <w:rPr>
          <w:b/>
          <w:sz w:val="24"/>
          <w:szCs w:val="24"/>
        </w:rPr>
      </w:pPr>
      <w:r>
        <w:rPr>
          <w:b/>
          <w:sz w:val="24"/>
          <w:szCs w:val="24"/>
        </w:rPr>
        <w:t xml:space="preserve">Describe the families assisted (including the racial and ethnic status of families assisted). 91.520(a) </w:t>
      </w:r>
    </w:p>
    <w:p>
      <w:pPr>
        <w:widowControl w:val="false"/>
        <w:spacing w:after="0" w:line="240" w:lineRule="auto"/>
        <w:rPr>
          <w:b/>
          <w:vanish/>
          <w:sz w:val="24"/>
          <w:szCs w:val="24"/>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keepNext/>
        <w:widowControl w:val="false"/>
        <w:spacing w:after="0" w:line="240" w:lineRule="auto"/>
        <w:rPr>
          <w:b/>
          <w:vanish/>
          <w:sz w:val="24"/>
          <w:szCs w:val="24"/>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keepNext/>
        <w:widowControl w:val="false"/>
        <w:rPr>
          <w:rFonts w:asciiTheme="minorHAnsi" w:hAnsiTheme="minorHAnsi"/>
          <w:b/>
          <w:sz w:val="20"/>
          <w:szCs w:val="20"/>
        </w:rPr>
      </w:pPr>
    </w:p>
    <w:p>
      <w:pPr>
        <w:keepNext/>
        <w:widowControl w:val="false"/>
        <w:rPr>
          <w:rFonts w:asciiTheme="minorHAnsi" w:hAnsiTheme="minorHAnsi"/>
          <w:b/>
          <w:sz w:val="20"/>
          <w:szCs w:val="20"/>
        </w:rPr>
      </w:pPr>
    </w:p>
    <w:p>
      <w:pPr>
        <w:keepNext/>
        <w:widowControl w:val="false"/>
        <w:ind w:firstLine="720"/>
        <w:rPr>
          <w:b/>
          <w:color w:val="000000" w:themeColor="text1"/>
          <w:sz w:val="20"/>
          <w:szCs w:val="20"/>
        </w:rPr>
      </w:pPr>
      <w:r>
        <w:rPr>
          <w:rFonts w:asciiTheme="minorHAnsi" w:hAnsiTheme="minorHAnsi"/>
          <w:b/>
          <w:sz w:val="20"/>
          <w:szCs w:val="20"/>
        </w:rPr>
        <w:t xml:space="preserve">Table </w:t>
        <w:fldChar w:fldCharType="begin"/>
        <w:instrText xml:space="preserve"> SEQ Table \* ARABIC </w:instrText>
        <w:fldChar w:fldCharType="separate"/>
        <w:t>2</w:t>
        <w:fldChar w:fldCharType="end"/>
        <w:t xml:space="preserve"> – Table of assistance to racial and ethnic populations by source of funds</w:t>
      </w:r>
      <w:r>
        <w:rPr>
          <w:b/>
          <w:color w:val="000000" w:themeColor="text1"/>
          <w:sz w:val="20"/>
          <w:szCs w:val="20"/>
        </w:rPr>
        <w:t xml:space="preserve"> </w:t>
      </w:r>
    </w:p>
    <w:p>
      <w:pPr>
        <w:widowControl w:val="false"/>
        <w:rPr>
          <w:b/>
          <w:sz w:val="24"/>
          <w:szCs w:val="24"/>
        </w:rPr>
      </w:pPr>
    </w:p>
    <w:p>
      <w:pPr>
        <w:widowControl w:val="false"/>
        <w:rPr>
          <w:b/>
          <w:sz w:val="24"/>
          <w:szCs w:val="24"/>
        </w:rPr>
      </w:pPr>
      <w:r>
        <w:rPr>
          <w:b/>
          <w:sz w:val="24"/>
          <w:szCs w:val="24"/>
        </w:rPr>
        <w:t>Narrative</w:t>
      </w:r>
    </w:p>
    <w:p>
      <w:pPr>
        <w:widowControl w:val="false"/>
        <w:spacing w:beforeAutospacing="true" w:afterAutospacing="true"/>
      </w:pPr>
      <w:r>
        <w:rPr/>
        <w:t xml:space="preserve">For the 2019 CDBG Program, of the 1025 families assisted, about 61% of beneficiaries were Black or African American. According to the 2018 American Community Survey, the City of Columbus’ Black or African American population is a little less than 30% of all residents. The population of White residents who benefited from the program was approximately 35% of the 1025 families assisted. About 16% of CDBG program beneficiaries are Hispanic.</w:t>
      </w:r>
      <w:r>
        <w:rPr/>
        <w:t xml:space="preserve"> </w:t>
      </w:r>
    </w:p>
    <w:p>
      <w:pPr>
        <w:widowControl w:val="false"/>
        <w:spacing w:beforeAutospacing="true" w:afterAutospacing="true"/>
      </w:pPr>
      <w:r>
        <w:rPr/>
        <w:t xml:space="preserve">Approximately 83% of the families who benefited from the 2019 City of Columbus HOME Program were Black or African American. Almost 71% of families who benefited from the 2019 City of Columbus ESG Program were Black or African American.</w:t>
      </w:r>
      <w:r>
        <w:rPr/>
        <w:t xml:space="preserve"> </w:t>
      </w:r>
    </w:p>
    <w:p>
      <w:pPr>
        <w:widowControl w:val="false"/>
        <w:spacing w:beforeAutospacing="true" w:afterAutospacing="true"/>
      </w:pPr>
      <w:r>
        <w:rPr/>
        <w:t xml:space="preserve">For all of the City of Columbus HUD funded programs in 2019, only a handful of residents served identified as Native Hawaiian or Other Pacific Islander, American Indian or American Native or Asian. Approximately 2% of those served by the HUD programs in 2019 were Native Hawaiian or Other Pacific Islander, American Indian or American Native or Asian. According to the 2018 American Community Survey, the City of Columbus’ total population is about 6.5% Native Hawaiian or Other Pacific Islander, American Indian or American Native or Asian.</w:t>
      </w:r>
    </w:p>
    <w:p>
      <w:pPr>
        <w:widowControl w:val="false"/>
        <w:spacing w:beforeAutospacing="true" w:afterAutospacing="true"/>
      </w:pPr>
      <w:r>
        <w:rPr/>
        <w:t xml:space="preserve">Please note that the HOPWA CAPER tracks program recipients slightly different from what is noted above. For additional information on the 2019 HOPWA outcomes, please see the HOPWA CAPER. Similar trends for the HOPWA outcomes when considering Race and Ethnicity were found when reporting. About 63% of the total served with the 2019 HOPWA program were Black or African American and about 37% of the total served with the 2019 HOPWA program were White.</w:t>
      </w:r>
    </w:p>
    <w:p>
      <w:pPr>
        <w:widowControl w:val="false"/>
      </w:pPr>
    </w:p>
    <w:p>
      <w:pPr>
        <w:sectPr>
          <w:pgSz w:w="12240" w:h="15840" w:code="1"/>
          <w:pgMar w:top="1440" w:right="1440" w:bottom="1440" w:left="1440" w:header="720" w:footer="720" w:gutter="0"/>
          <w:cols w:space="720"/>
          <w:docGrid w:linePitch="360"/>
        </w:sectPr>
      </w:pPr>
    </w:p>
    <w:bookmarkEnd w:id="0"/>
    <w:p>
      <w:pPr>
        <w:pStyle w:val="Heading2"/>
        <w:rPr>
          <w:rFonts w:ascii="Calibri" w:hAnsi="Calibri"/>
          <w:i w:val="false"/>
        </w:rPr>
      </w:pPr>
      <w:r>
        <w:rPr>
          <w:rFonts w:ascii="Calibri" w:hAnsi="Calibri"/>
          <w:i w:val="false"/>
        </w:rPr>
        <w:t>CR-15 - Resources and Investments 91.520(a)</w:t>
      </w:r>
    </w:p>
    <w:p>
      <w:pPr>
        <w:keepNext/>
        <w:widowControl w:val="false"/>
        <w:spacing w:after="0" w:line="240" w:lineRule="auto"/>
        <w:rPr>
          <w:b/>
          <w:sz w:val="24"/>
          <w:szCs w:val="24"/>
        </w:rPr>
      </w:pPr>
      <w:r>
        <w:rPr>
          <w:b/>
          <w:sz w:val="24"/>
          <w:szCs w:val="24"/>
        </w:rPr>
        <w:t>Identify the resources made available</w:t>
      </w:r>
    </w:p>
    <w:tbl>
      <w:tblPr>
        <w:tblW w:w="5000"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2394"/>
        <w:gridCol w:w="2394"/>
        <w:gridCol w:w="2394"/>
        <w:gridCol w:w="2394"/>
      </w:tblGrid>
      <w:tr>
        <w:trPr>
          <w:cantSplit/>
        </w:trPr>
        <w:tc>
          <w:tcPr>
            <w:tcW w:w="2394" w:type="dxa"/>
          </w:tcPr>
          <w:p>
            <w:pPr>
              <w:keepNext/>
              <w:widowControl w:val="false"/>
              <w:spacing w:after="0" w:line="240" w:lineRule="auto"/>
              <w:jc w:val="center"/>
              <w:rPr>
                <w:rFonts w:cs="Arial"/>
                <w:b/>
              </w:rPr>
            </w:pPr>
            <w:r>
              <w:rPr>
                <w:rFonts w:cs="Arial"/>
                <w:b/>
              </w:rPr>
              <w:t>Source of Funds</w:t>
            </w:r>
          </w:p>
        </w:tc>
        <w:tc>
          <w:tcPr>
            <w:tcW w:w="2394" w:type="dxa"/>
          </w:tcPr>
          <w:p>
            <w:pPr>
              <w:keepNext/>
              <w:widowControl w:val="false"/>
              <w:spacing w:after="0" w:line="240" w:lineRule="auto"/>
              <w:jc w:val="center"/>
              <w:rPr>
                <w:rFonts w:cs="Arial"/>
                <w:b/>
              </w:rPr>
            </w:pPr>
            <w:r>
              <w:rPr>
                <w:rFonts w:cs="Arial"/>
                <w:b/>
              </w:rPr>
              <w:t>Source</w:t>
            </w:r>
          </w:p>
        </w:tc>
        <w:tc>
          <w:tcPr>
            <w:tcW w:w="2394" w:type="dxa"/>
          </w:tcPr>
          <w:p>
            <w:pPr>
              <w:keepNext/>
              <w:spacing w:after="0" w:line="240" w:lineRule="auto"/>
              <w:jc w:val="center"/>
              <w:rPr>
                <w:rFonts w:cs="Arial"/>
                <w:b/>
              </w:rPr>
            </w:pPr>
            <w:r>
              <w:rPr>
                <w:rFonts w:cs="Arial"/>
                <w:b/>
              </w:rPr>
              <w:t>Resources Made Available</w:t>
            </w:r>
          </w:p>
        </w:tc>
        <w:tc>
          <w:tcPr>
            <w:tcW w:w="2394" w:type="dxa"/>
          </w:tcPr>
          <w:p>
            <w:pPr>
              <w:keepNext/>
              <w:widowControl w:val="false"/>
              <w:spacing w:after="0" w:line="240" w:lineRule="auto"/>
              <w:jc w:val="center"/>
              <w:rPr>
                <w:rFonts w:cs="Arial"/>
                <w:b/>
              </w:rPr>
            </w:pPr>
            <w:r>
              <w:rPr>
                <w:rFonts w:cs="Arial"/>
                <w:b/>
              </w:rPr>
              <w:t>Amount Expended During Program Year</w:t>
            </w:r>
          </w:p>
        </w:tc>
      </w:tr>
      <w:tr>
        <w:trPr>
          <w:cantSplit w:val="true"/>
        </w:trPr>
        <w:tc>
          <w:tcPr>
            <w:vAlign w:val="bottom"/>
          </w:tcPr>
          <w:p>
            <w:pPr>
              <w:spacing w:beforeAutospacing="true" w:afterAutospacing="true"/>
              <w:jc w:val="left"/>
            </w:pPr>
            <w:r>
              <w:rPr>
                <w:rFonts w:ascii="Calibri" w:hAnsi="Calibri"/>
                <w:color w:val="000000"/>
                <w:sz w:val="22"/>
              </w:rPr>
              <w:t xml:space="preserve">CDBG</w:t>
            </w:r>
          </w:p>
        </w:tc>
        <w:tc>
          <w:tcPr>
            <w:vAlign w:val="bottom"/>
          </w:tcPr>
          <w:p>
            <w:pPr>
              <w:spacing w:beforeAutospacing="true" w:afterAutospacing="true"/>
              <w:jc w:val="left"/>
            </w:pPr>
            <w:r>
              <w:rPr>
                <w:rFonts w:ascii="Calibri" w:hAnsi="Calibri"/>
                <w:color w:val="000000"/>
                <w:sz w:val="22"/>
              </w:rPr>
              <w:t xml:space="preserve">public - federal</w:t>
            </w:r>
          </w:p>
        </w:tc>
        <w:tc>
          <w:tcPr>
            <w:vAlign w:val="bottom"/>
          </w:tcPr>
          <w:p>
            <w:pPr>
              <w:spacing w:beforeAutospacing="true" w:afterAutospacing="true"/>
              <w:jc w:val="right"/>
            </w:pPr>
            <w:r>
              <w:rPr>
                <w:rFonts w:ascii="Calibri" w:hAnsi="Calibri"/>
                <w:color w:val="000000"/>
                <w:sz w:val="22"/>
              </w:rPr>
              <w:t xml:space="preserve">18,949,987</w:t>
            </w:r>
          </w:p>
        </w:tc>
        <w:tc>
          <w:tcPr>
            <w:vAlign w:val="bottom"/>
          </w:tcPr>
          <w:p>
            <w:pPr>
              <w:spacing w:beforeAutospacing="true" w:afterAutospacing="true"/>
              <w:jc w:val="right"/>
            </w:pPr>
            <w:r>
              <w:rPr>
                <w:rFonts w:ascii="Calibri" w:hAnsi="Calibri"/>
                <w:color w:val="000000"/>
                <w:sz w:val="22"/>
              </w:rPr>
              <w:t xml:space="preserve">12,485,344</w:t>
            </w:r>
          </w:p>
        </w:tc>
      </w:tr>
      <w:tr>
        <w:trPr>
          <w:cantSplit w:val="true"/>
        </w:trPr>
        <w:tc>
          <w:tcPr>
            <w:vAlign w:val="bottom"/>
          </w:tcPr>
          <w:p>
            <w:pPr>
              <w:spacing w:beforeAutospacing="true" w:afterAutospacing="true"/>
              <w:jc w:val="left"/>
            </w:pPr>
            <w:r>
              <w:rPr>
                <w:rFonts w:ascii="Calibri" w:hAnsi="Calibri"/>
                <w:color w:val="000000"/>
                <w:sz w:val="22"/>
              </w:rPr>
              <w:t xml:space="preserve">HOME</w:t>
            </w:r>
          </w:p>
        </w:tc>
        <w:tc>
          <w:tcPr>
            <w:vAlign w:val="bottom"/>
          </w:tcPr>
          <w:p>
            <w:pPr>
              <w:spacing w:beforeAutospacing="true" w:afterAutospacing="true"/>
              <w:jc w:val="left"/>
            </w:pPr>
            <w:r>
              <w:rPr>
                <w:rFonts w:ascii="Calibri" w:hAnsi="Calibri"/>
                <w:color w:val="000000"/>
                <w:sz w:val="22"/>
              </w:rPr>
              <w:t xml:space="preserve">public - federal</w:t>
            </w:r>
          </w:p>
        </w:tc>
        <w:tc>
          <w:tcPr>
            <w:vAlign w:val="bottom"/>
          </w:tcPr>
          <w:p>
            <w:pPr>
              <w:spacing w:beforeAutospacing="true" w:afterAutospacing="true"/>
              <w:jc w:val="right"/>
            </w:pPr>
            <w:r>
              <w:rPr>
                <w:rFonts w:ascii="Calibri" w:hAnsi="Calibri"/>
                <w:color w:val="000000"/>
                <w:sz w:val="22"/>
              </w:rPr>
              <w:t xml:space="preserve">4,550,000</w:t>
            </w:r>
          </w:p>
        </w:tc>
        <w:tc>
          <w:tcPr>
            <w:vAlign w:val="bottom"/>
          </w:tcPr>
          <w:p>
            <w:pPr>
              <w:spacing w:beforeAutospacing="true" w:afterAutospacing="true"/>
              <w:jc w:val="right"/>
            </w:pPr>
            <w:r>
              <w:rPr>
                <w:rFonts w:ascii="Calibri" w:hAnsi="Calibri"/>
                <w:color w:val="000000"/>
                <w:sz w:val="22"/>
              </w:rPr>
              <w:t xml:space="preserve">2,856,137</w:t>
            </w:r>
          </w:p>
        </w:tc>
      </w:tr>
      <w:tr>
        <w:trPr>
          <w:cantSplit w:val="true"/>
        </w:trPr>
        <w:tc>
          <w:tcPr>
            <w:vAlign w:val="bottom"/>
          </w:tcPr>
          <w:p>
            <w:pPr>
              <w:spacing w:beforeAutospacing="true" w:afterAutospacing="true"/>
              <w:jc w:val="left"/>
            </w:pPr>
            <w:r>
              <w:rPr>
                <w:rFonts w:ascii="Calibri" w:hAnsi="Calibri"/>
                <w:color w:val="000000"/>
                <w:sz w:val="22"/>
              </w:rPr>
              <w:t xml:space="preserve">HOPWA</w:t>
            </w:r>
          </w:p>
        </w:tc>
        <w:tc>
          <w:tcPr>
            <w:vAlign w:val="bottom"/>
          </w:tcPr>
          <w:p>
            <w:pPr>
              <w:spacing w:beforeAutospacing="true" w:afterAutospacing="true"/>
              <w:jc w:val="left"/>
            </w:pPr>
            <w:r>
              <w:rPr>
                <w:rFonts w:ascii="Calibri" w:hAnsi="Calibri"/>
                <w:color w:val="000000"/>
                <w:sz w:val="22"/>
              </w:rPr>
              <w:t xml:space="preserve">public - federal</w:t>
            </w:r>
          </w:p>
        </w:tc>
        <w:tc>
          <w:tcPr>
            <w:vAlign w:val="bottom"/>
          </w:tcPr>
          <w:p>
            <w:pPr>
              <w:spacing w:beforeAutospacing="true" w:afterAutospacing="true"/>
              <w:jc w:val="right"/>
            </w:pPr>
            <w:r>
              <w:rPr>
                <w:rFonts w:ascii="Calibri" w:hAnsi="Calibri"/>
                <w:color w:val="000000"/>
                <w:sz w:val="22"/>
              </w:rPr>
              <w:t xml:space="preserve">2,323,706</w:t>
            </w:r>
          </w:p>
        </w:tc>
        <w:tc>
          <w:tcPr>
            <w:vAlign w:val="bottom"/>
          </w:tcPr>
          <w:p>
            <w:pPr>
              <w:spacing w:beforeAutospacing="true" w:afterAutospacing="true"/>
              <w:jc w:val="right"/>
            </w:pPr>
            <w:r>
              <w:rPr>
                <w:rFonts w:ascii="Calibri" w:hAnsi="Calibri"/>
                <w:color w:val="000000"/>
                <w:sz w:val="22"/>
              </w:rPr>
              <w:t xml:space="preserve">1,151,449</w:t>
            </w:r>
          </w:p>
        </w:tc>
      </w:tr>
      <w:tr>
        <w:trPr>
          <w:cantSplit w:val="true"/>
        </w:trPr>
        <w:tc>
          <w:tcPr>
            <w:vAlign w:val="bottom"/>
          </w:tcPr>
          <w:p>
            <w:pPr>
              <w:spacing w:beforeAutospacing="true" w:afterAutospacing="true"/>
              <w:jc w:val="left"/>
            </w:pPr>
            <w:r>
              <w:rPr>
                <w:rFonts w:ascii="Calibri" w:hAnsi="Calibri"/>
                <w:color w:val="000000"/>
                <w:sz w:val="22"/>
              </w:rPr>
              <w:t xml:space="preserve">ESG</w:t>
            </w:r>
          </w:p>
        </w:tc>
        <w:tc>
          <w:tcPr>
            <w:vAlign w:val="bottom"/>
          </w:tcPr>
          <w:p>
            <w:pPr>
              <w:spacing w:beforeAutospacing="true" w:afterAutospacing="true"/>
              <w:jc w:val="left"/>
            </w:pPr>
            <w:r>
              <w:rPr>
                <w:rFonts w:ascii="Calibri" w:hAnsi="Calibri"/>
                <w:color w:val="000000"/>
                <w:sz w:val="22"/>
              </w:rPr>
              <w:t xml:space="preserve">public - federal</w:t>
            </w:r>
          </w:p>
        </w:tc>
        <w:tc>
          <w:tcPr>
            <w:vAlign w:val="bottom"/>
          </w:tcPr>
          <w:p>
            <w:pPr>
              <w:spacing w:beforeAutospacing="true" w:afterAutospacing="true"/>
              <w:jc w:val="right"/>
            </w:pPr>
            <w:r>
              <w:rPr>
                <w:rFonts w:ascii="Calibri" w:hAnsi="Calibri"/>
                <w:color w:val="000000"/>
                <w:sz w:val="22"/>
              </w:rPr>
              <w:t xml:space="preserve">597,045</w:t>
            </w:r>
          </w:p>
        </w:tc>
        <w:tc>
          <w:tcPr>
            <w:vAlign w:val="bottom"/>
          </w:tcPr>
          <w:p>
            <w:pPr>
              <w:spacing w:beforeAutospacing="true" w:afterAutospacing="true"/>
              <w:jc w:val="right"/>
            </w:pPr>
            <w:r>
              <w:rPr>
                <w:rFonts w:ascii="Calibri" w:hAnsi="Calibri"/>
                <w:color w:val="000000"/>
                <w:sz w:val="22"/>
              </w:rPr>
              <w:t xml:space="preserve">433,432</w:t>
            </w:r>
          </w:p>
        </w:tc>
      </w:tr>
    </w:tbl>
    <w:p>
      <w:pPr>
        <w:pStyle w:val="Caption"/>
        <w:jc w:val="center"/>
        <w:rPr>
          <w:rFonts w:asciiTheme="minorHAnsi" w:hAnsiTheme="minorHAnsi"/>
        </w:rPr>
      </w:pPr>
      <w:r>
        <w:rPr>
          <w:rFonts w:asciiTheme="minorHAnsi" w:hAnsiTheme="minorHAnsi"/>
        </w:rPr>
        <w:t xml:space="preserve">Table </w:t>
        <w:fldChar w:fldCharType="begin"/>
        <w:instrText xml:space="preserve"> SEQ Table \* ARABIC </w:instrText>
        <w:fldChar w:fldCharType="separate"/>
        <w:t>3</w:t>
        <w:fldChar w:fldCharType="end"/>
        <w:t xml:space="preserve"> - Resources Made Available</w:t>
      </w:r>
    </w:p>
    <w:p>
      <w:pPr>
        <w:spacing w:after="0" w:line="240" w:lineRule="auto"/>
        <w:rPr>
          <w:b/>
          <w:sz w:val="24"/>
          <w:szCs w:val="24"/>
        </w:rPr>
      </w:pPr>
    </w:p>
    <w:p>
      <w:pPr>
        <w:spacing w:after="0" w:line="240" w:lineRule="auto"/>
        <w:rPr>
          <w:b/>
          <w:sz w:val="24"/>
          <w:szCs w:val="24"/>
        </w:rPr>
      </w:pPr>
      <w:r>
        <w:rPr>
          <w:b/>
          <w:sz w:val="24"/>
          <w:szCs w:val="24"/>
        </w:rPr>
        <w:t>Narrative</w:t>
      </w:r>
    </w:p>
    <w:p>
      <w:pPr>
        <w:spacing w:after="0" w:line="240" w:lineRule="auto"/>
        <w:rPr>
          <w:rFonts w:cs="Arial"/>
        </w:rPr>
      </w:pPr>
      <w:r>
        <w:rPr>
          <w:rFonts w:cs="Arial"/>
        </w:rPr>
      </w:r>
    </w:p>
    <w:p>
      <w:pPr>
        <w:spacing w:after="0" w:line="240" w:lineRule="auto"/>
        <w:rPr>
          <w:b/>
          <w:sz w:val="24"/>
          <w:szCs w:val="24"/>
        </w:rPr>
      </w:pPr>
    </w:p>
    <w:p>
      <w:pPr>
        <w:keepNext/>
        <w:spacing w:after="0" w:line="240" w:lineRule="auto"/>
        <w:rPr>
          <w:b/>
          <w:sz w:val="24"/>
          <w:szCs w:val="24"/>
        </w:rPr>
      </w:pPr>
      <w:r>
        <w:rPr>
          <w:b/>
          <w:sz w:val="24"/>
          <w:szCs w:val="24"/>
        </w:rPr>
        <w:t>Identify the geographic distribution and location of investments</w:t>
      </w:r>
    </w:p>
    <w:tbl>
      <w:tblPr>
        <w:tblW w:w="5000"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2394"/>
        <w:gridCol w:w="2394"/>
        <w:gridCol w:w="2394"/>
        <w:gridCol w:w="2394"/>
      </w:tblGrid>
      <w:tr>
        <w:trPr>
          <w:cantSplit/>
        </w:trPr>
        <w:tc>
          <w:tcPr>
            <w:tcW w:w="2394" w:type="dxa"/>
          </w:tcPr>
          <w:p>
            <w:pPr>
              <w:keepNext/>
              <w:widowControl w:val="false"/>
              <w:spacing w:after="0" w:line="240" w:lineRule="auto"/>
              <w:jc w:val="center"/>
              <w:rPr>
                <w:rFonts w:cs="Arial"/>
                <w:b/>
              </w:rPr>
            </w:pPr>
            <w:r>
              <w:rPr>
                <w:rFonts w:cs="Arial"/>
                <w:b/>
              </w:rPr>
              <w:t>Target Area</w:t>
            </w:r>
          </w:p>
        </w:tc>
        <w:tc>
          <w:tcPr>
            <w:tcW w:w="2394" w:type="dxa"/>
          </w:tcPr>
          <w:p>
            <w:pPr>
              <w:keepNext/>
              <w:widowControl w:val="false"/>
              <w:spacing w:after="0" w:line="240" w:lineRule="auto"/>
              <w:jc w:val="center"/>
              <w:rPr>
                <w:rFonts w:cs="Arial"/>
                <w:b/>
              </w:rPr>
            </w:pPr>
            <w:r>
              <w:rPr>
                <w:rFonts w:cs="Arial"/>
                <w:b/>
              </w:rPr>
              <w:t>Planned Percentage of Allocation</w:t>
            </w:r>
          </w:p>
        </w:tc>
        <w:tc>
          <w:tcPr>
            <w:tcW w:w="2394" w:type="dxa"/>
          </w:tcPr>
          <w:p>
            <w:pPr>
              <w:keepNext/>
              <w:spacing w:after="0" w:line="240" w:lineRule="auto"/>
              <w:jc w:val="center"/>
              <w:rPr>
                <w:rFonts w:cs="Arial"/>
                <w:b/>
              </w:rPr>
            </w:pPr>
            <w:r>
              <w:rPr>
                <w:rFonts w:cs="Arial"/>
                <w:b/>
              </w:rPr>
              <w:t>Actual Percentage of Allocation</w:t>
            </w:r>
          </w:p>
        </w:tc>
        <w:tc>
          <w:tcPr>
            <w:tcW w:w="2394" w:type="dxa"/>
          </w:tcPr>
          <w:p>
            <w:pPr>
              <w:keepNext/>
              <w:widowControl w:val="false"/>
              <w:spacing w:after="0" w:line="240" w:lineRule="auto"/>
              <w:jc w:val="center"/>
              <w:rPr>
                <w:rFonts w:cs="Arial"/>
                <w:b/>
              </w:rPr>
            </w:pPr>
            <w:r>
              <w:rPr>
                <w:rFonts w:cs="Arial"/>
                <w:b/>
              </w:rPr>
              <w:t>Narrative Description</w:t>
            </w:r>
          </w:p>
        </w:tc>
      </w:tr>
      <w:tr>
        <w:trPr>
          <w:cantSplit/>
        </w:trPr>
        <w:tc>
          <w:tcPr>
            <w:tcW w:w="2394" w:type="dxa"/>
          </w:tcPr>
          <w:p>
            <w:pPr>
              <w:keepNext/>
              <w:widowControl w:val="false"/>
              <w:spacing w:after="0" w:line="240" w:lineRule="auto"/>
              <w:rPr>
                <w:rFonts w:cs="Arial"/>
              </w:rPr>
            </w:pPr>
          </w:p>
        </w:tc>
        <w:tc>
          <w:tcPr>
            <w:tcW w:w="2394" w:type="dxa"/>
          </w:tcPr>
          <w:p>
            <w:pPr>
              <w:keepNext/>
              <w:widowControl w:val="false"/>
              <w:spacing w:after="0" w:line="240" w:lineRule="auto"/>
              <w:rPr>
                <w:rFonts w:cs="Arial"/>
              </w:rPr>
            </w:pPr>
          </w:p>
        </w:tc>
        <w:tc>
          <w:tcPr>
            <w:tcW w:w="2394" w:type="dxa"/>
          </w:tcPr>
          <w:p>
            <w:pPr>
              <w:keepNext/>
              <w:widowControl w:val="false"/>
              <w:spacing w:after="0" w:line="240" w:lineRule="auto"/>
              <w:rPr>
                <w:rFonts w:cs="Arial"/>
              </w:rPr>
            </w:pPr>
          </w:p>
        </w:tc>
        <w:tc>
          <w:tcPr>
            <w:tcW w:w="2394" w:type="dxa"/>
          </w:tcPr>
          <w:p>
            <w:pPr>
              <w:keepNext/>
              <w:widowControl w:val="false"/>
              <w:spacing w:after="0" w:line="240" w:lineRule="auto"/>
              <w:rPr>
                <w:rFonts w:cs="Arial"/>
              </w:rPr>
            </w:pPr>
          </w:p>
        </w:tc>
      </w:tr>
    </w:tbl>
    <w:p>
      <w:pPr>
        <w:pStyle w:val="Caption"/>
        <w:jc w:val="center"/>
        <w:rPr>
          <w:rFonts w:asciiTheme="minorHAnsi" w:hAnsiTheme="minorHAnsi"/>
        </w:rPr>
      </w:pPr>
      <w:r>
        <w:rPr>
          <w:rFonts w:asciiTheme="minorHAnsi" w:hAnsiTheme="minorHAnsi"/>
        </w:rPr>
        <w:t xml:space="preserve">Table </w:t>
        <w:fldChar w:fldCharType="begin"/>
        <w:instrText xml:space="preserve"> SEQ Table \* ARABIC </w:instrText>
        <w:fldChar w:fldCharType="separate"/>
        <w:t>4</w:t>
        <w:fldChar w:fldCharType="end"/>
        <w:t xml:space="preserve"> – Identify the geographic distribution and location of investments</w:t>
      </w:r>
    </w:p>
    <w:p>
      <w:pPr>
        <w:keepNext/>
        <w:widowControl w:val="false"/>
        <w:spacing w:line="204" w:lineRule="auto"/>
        <w:rPr>
          <w:b/>
          <w:sz w:val="24"/>
          <w:szCs w:val="24"/>
        </w:rPr>
      </w:pPr>
    </w:p>
    <w:p>
      <w:pPr>
        <w:widowControl w:val="false"/>
        <w:spacing w:line="204" w:lineRule="auto"/>
        <w:rPr>
          <w:b/>
          <w:sz w:val="24"/>
          <w:szCs w:val="24"/>
        </w:rPr>
      </w:pPr>
      <w:r>
        <w:rPr>
          <w:b/>
          <w:sz w:val="24"/>
          <w:szCs w:val="24"/>
        </w:rPr>
        <w:t>Narrative</w:t>
      </w:r>
    </w:p>
    <w:p>
      <w:pPr>
        <w:widowControl w:val="false"/>
        <w:spacing w:beforeAutospacing="true" w:afterAutospacing="true"/>
        <w:rPr>
          <w:rFonts w:cs="Arial"/>
        </w:rPr>
      </w:pPr>
      <w:r>
        <w:rPr>
          <w:rFonts w:cs="Arial"/>
        </w:rPr>
        <w:t xml:space="preserve">The City did not identify any target area(s) for the 2019 HUD programs. Most of the programs are citywide initiative made available to all residents who qualify based on income and household size. One example of city-wide programing is the Fair Housing Program, made available to all residents in the City who feel they have been discriminated against during their pursuit for housing. Another example of citywide CDBG funded programing is the Neighborhood Liaisons activity. Each neighborhoods association and City Area Commission is assigned a Neighborhood Liaison. </w:t>
      </w:r>
    </w:p>
    <w:p>
      <w:pPr>
        <w:widowControl w:val="false"/>
        <w:spacing w:beforeAutospacing="true" w:afterAutospacing="true"/>
        <w:rPr>
          <w:rFonts w:cs="Arial"/>
        </w:rPr>
      </w:pPr>
      <w:r>
        <w:rPr>
          <w:rFonts w:cs="Arial"/>
        </w:rPr>
        <w:t xml:space="preserve">The City of Columbus funded the Neighborhood Crisis Response Program with CDBG dollars which worked in the South Side neighborhoods, the Hilltop neighborhood, and the Linden neighborhoods. These neighborhoods are LMA, and were chosen for the programing due to an increase in violent crimes, gun violence, and sex trafficking in the neighborhoods. </w:t>
      </w:r>
    </w:p>
    <w:p>
      <w:pPr>
        <w:widowControl w:val="false"/>
        <w:spacing w:beforeAutospacing="true" w:afterAutospacing="true"/>
        <w:rPr>
          <w:rFonts w:cs="Arial"/>
        </w:rPr>
      </w:pPr>
      <w:r>
        <w:rPr>
          <w:rFonts w:cs="Arial"/>
        </w:rPr>
        <w:t xml:space="preserve">Infrastructure investment and planning efforts were mostly concentrated in the Hilltop, south side and Linden communities as well during the 2019 CDBG program year. These are neighborhoods with communities which have experienced increases in a lack of private investment, number of failing schools and infant mortality rates. </w:t>
      </w:r>
    </w:p>
    <w:p>
      <w:pPr>
        <w:widowControl w:val="false"/>
        <w:spacing w:beforeAutospacing="true" w:afterAutospacing="true"/>
        <w:rPr>
          <w:rFonts w:cs="Arial"/>
        </w:rPr>
      </w:pPr>
      <w:r>
        <w:rPr>
          <w:rFonts w:cs="Arial"/>
        </w:rPr>
        <w:t xml:space="preserve">The City’s HOME, ESG and HOPWA programs do not target geographic areas. Those programs are citywide. </w:t>
      </w:r>
    </w:p>
    <w:p>
      <w:pPr>
        <w:pageBreakBefore/>
        <w:widowControl w:val="false"/>
        <w:spacing w:line="240" w:lineRule="auto"/>
        <w:rPr>
          <w:b/>
          <w:sz w:val="24"/>
          <w:szCs w:val="24"/>
        </w:rPr>
      </w:pPr>
      <w:r>
        <w:rPr>
          <w:b/>
          <w:sz w:val="24"/>
          <w:szCs w:val="24"/>
        </w:rPr>
        <w:t>Leveraging</w:t>
      </w:r>
    </w:p>
    <w:p>
      <w:pPr>
        <w:widowControl w:val="false"/>
        <w:spacing w:line="240" w:lineRule="auto"/>
        <w:rPr>
          <w:b/>
          <w:sz w:val="24"/>
          <w:szCs w:val="24"/>
        </w:rPr>
      </w:pPr>
      <w:r>
        <w:rPr>
          <w:b/>
          <w:sz w:val="24"/>
          <w:szCs w:val="24"/>
        </w:rPr>
        <w:t>Explain how federal funds  leveraged additional resources (private, state and local funds), including a description of how matching requirements were satisfied, as well as how any publicly owned land or property located within the jurisdiction that were used to address the needs identified in the plan.</w:t>
      </w:r>
    </w:p>
    <w:p>
      <w:pPr>
        <w:widowControl w:val="false"/>
        <w:spacing w:beforeAutospacing="true" w:afterAutospacing="true"/>
        <w:rPr>
          <w:sz w:val="24"/>
          <w:szCs w:val="24"/>
        </w:rPr>
      </w:pPr>
      <w:r>
        <w:rPr>
          <w:sz w:val="24"/>
          <w:szCs w:val="24"/>
        </w:rPr>
        <w:t xml:space="preserve">The city currently does not track leveraged funds. </w:t>
      </w:r>
    </w:p>
    <w:p>
      <w:pPr>
        <w:widowControl w:val="false"/>
        <w:spacing w:after="0" w:line="240" w:lineRule="auto"/>
        <w:rPr>
          <w:sz w:val="24"/>
          <w:szCs w:val="24"/>
        </w:rPr>
      </w:pPr>
    </w:p>
    <w:p>
      <w:pPr>
        <w:spacing w:after="0" w:line="240" w:lineRule="auto"/>
        <w:rPr>
          <w:b/>
        </w:rPr>
      </w:pPr>
    </w:p>
    <w:p>
      <w:pPr>
        <w:widowControl w:val="false"/>
        <w:spacing w:line="204" w:lineRule="auto"/>
        <w:rPr>
          <w:rFonts w:cs="Arial"/>
        </w:rPr>
      </w:pPr>
    </w:p>
    <w:tbl>
      <w:tblPr>
        <w:tblW w:w="5000"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7193"/>
        <w:gridCol w:w="2383"/>
      </w:tblGrid>
      <w:tr>
        <w:trPr>
          <w:cantSplit/>
          <w:tblHeader/>
        </w:trPr>
        <w:tc>
          <w:tcPr>
            <w:tcW w:w="9576" w:type="dxa"/>
            <w:gridSpan w:val="2"/>
          </w:tcPr>
          <w:p>
            <w:pPr>
              <w:keepNext/>
              <w:widowControl w:val="false"/>
              <w:spacing w:after="0" w:line="240" w:lineRule="auto"/>
              <w:jc w:val="center"/>
              <w:rPr>
                <w:rFonts w:cs="Arial"/>
              </w:rPr>
            </w:pPr>
            <w:r>
              <w:rPr>
                <w:b/>
              </w:rPr>
              <w:t>Fiscal Year Summary – HOME Match</w:t>
            </w:r>
          </w:p>
        </w:tc>
      </w:tr>
      <w:tr>
        <w:trPr>
          <w:cantSplit w:val="true"/>
        </w:trPr>
        <w:tc>
          <w:tcPr>
            <w:vAlign w:val="bottom"/>
          </w:tcPr>
          <w:p>
            <w:pPr>
              <w:spacing w:beforeAutospacing="true" w:afterAutospacing="true"/>
              <w:jc w:val="left"/>
            </w:pPr>
            <w:r>
              <w:rPr>
                <w:rFonts w:ascii="Calibri" w:hAnsi="Calibri"/>
                <w:color w:val="000000"/>
                <w:sz w:val="22"/>
              </w:rPr>
              <w:t xml:space="preserve">1. Excess match from prior Federal fiscal year</w:t>
            </w:r>
          </w:p>
        </w:tc>
        <w:tc>
          <w:tcPr>
            <w:vAlign w:val="bottom"/>
          </w:tcPr>
          <w:p>
            <w:pPr>
              <w:spacing w:beforeAutospacing="true" w:afterAutospacing="true"/>
              <w:jc w:val="right"/>
            </w:pPr>
            <w:r>
              <w:rPr>
                <w:rFonts w:ascii="Calibri" w:hAnsi="Calibri"/>
                <w:color w:val="000000"/>
                <w:sz w:val="22"/>
              </w:rPr>
              <w:t xml:space="preserve">69,285,436</w:t>
            </w:r>
          </w:p>
        </w:tc>
      </w:tr>
      <w:tr>
        <w:trPr>
          <w:cantSplit w:val="true"/>
        </w:trPr>
        <w:tc>
          <w:tcPr>
            <w:vAlign w:val="bottom"/>
          </w:tcPr>
          <w:p>
            <w:pPr>
              <w:spacing w:beforeAutospacing="true" w:afterAutospacing="true"/>
              <w:jc w:val="left"/>
            </w:pPr>
            <w:r>
              <w:rPr>
                <w:rFonts w:ascii="Calibri" w:hAnsi="Calibri"/>
                <w:color w:val="000000"/>
                <w:sz w:val="22"/>
              </w:rPr>
              <w:t xml:space="preserve">2. Match contributed during current Federal fiscal year</w:t>
            </w:r>
          </w:p>
        </w:tc>
        <w:tc>
          <w:tcPr>
            <w:vAlign w:val="bottom"/>
          </w:tcPr>
          <w:p>
            <w:pPr>
              <w:spacing w:beforeAutospacing="true" w:afterAutospacing="true"/>
              <w:jc w:val="right"/>
            </w:pPr>
            <w:r>
              <w:rPr>
                <w:rFonts w:ascii="Calibri" w:hAnsi="Calibri"/>
                <w:color w:val="000000"/>
                <w:sz w:val="22"/>
              </w:rPr>
              <w:t xml:space="preserve">1,202,614</w:t>
            </w:r>
          </w:p>
        </w:tc>
      </w:tr>
      <w:tr>
        <w:trPr>
          <w:cantSplit w:val="true"/>
        </w:trPr>
        <w:tc>
          <w:tcPr>
            <w:vAlign w:val="bottom"/>
          </w:tcPr>
          <w:p>
            <w:pPr>
              <w:spacing w:beforeAutospacing="true" w:afterAutospacing="true"/>
              <w:jc w:val="left"/>
            </w:pPr>
            <w:r>
              <w:rPr>
                <w:rFonts w:ascii="Calibri" w:hAnsi="Calibri"/>
                <w:color w:val="000000"/>
                <w:sz w:val="22"/>
              </w:rPr>
              <w:t xml:space="preserve">3. Total match available for current Federal fiscal year (Line 1 plus Line 2)</w:t>
            </w:r>
          </w:p>
        </w:tc>
        <w:tc>
          <w:tcPr>
            <w:vAlign w:val="bottom"/>
          </w:tcPr>
          <w:p>
            <w:pPr>
              <w:spacing w:beforeAutospacing="true" w:afterAutospacing="true"/>
              <w:jc w:val="right"/>
            </w:pPr>
            <w:r>
              <w:rPr>
                <w:rFonts w:ascii="Calibri" w:hAnsi="Calibri"/>
                <w:color w:val="000000"/>
                <w:sz w:val="22"/>
              </w:rPr>
              <w:t xml:space="preserve">70,488,050</w:t>
            </w:r>
          </w:p>
        </w:tc>
      </w:tr>
      <w:tr>
        <w:trPr>
          <w:cantSplit w:val="true"/>
        </w:trPr>
        <w:tc>
          <w:tcPr>
            <w:vAlign w:val="bottom"/>
          </w:tcPr>
          <w:p>
            <w:pPr>
              <w:spacing w:beforeAutospacing="true" w:afterAutospacing="true"/>
              <w:jc w:val="left"/>
            </w:pPr>
            <w:r>
              <w:rPr>
                <w:rFonts w:ascii="Calibri" w:hAnsi="Calibri"/>
                <w:color w:val="000000"/>
                <w:sz w:val="22"/>
              </w:rPr>
              <w:t xml:space="preserve">4. Match liability for current Federal fiscal year</w:t>
            </w:r>
          </w:p>
        </w:tc>
        <w:tc>
          <w:tcPr>
            <w:vAlign w:val="bottom"/>
          </w:tcPr>
          <w:p>
            <w:pPr>
              <w:spacing w:beforeAutospacing="true" w:afterAutospacing="true"/>
              <w:jc w:val="right"/>
            </w:pPr>
            <w:r>
              <w:rPr>
                <w:rFonts w:ascii="Calibri" w:hAnsi="Calibri"/>
                <w:color w:val="000000"/>
                <w:sz w:val="22"/>
              </w:rPr>
              <w:t xml:space="preserve">318,676</w:t>
            </w:r>
          </w:p>
        </w:tc>
      </w:tr>
      <w:tr>
        <w:trPr>
          <w:cantSplit w:val="true"/>
        </w:trPr>
        <w:tc>
          <w:tcPr>
            <w:vAlign w:val="bottom"/>
          </w:tcPr>
          <w:p>
            <w:pPr>
              <w:spacing w:beforeAutospacing="true" w:afterAutospacing="true"/>
              <w:jc w:val="left"/>
            </w:pPr>
            <w:r>
              <w:rPr>
                <w:rFonts w:ascii="Calibri" w:hAnsi="Calibri"/>
                <w:color w:val="000000"/>
                <w:sz w:val="22"/>
              </w:rPr>
              <w:t xml:space="preserve">5. Excess match carried over to next Federal fiscal year (Line 3 minus Line 4)</w:t>
            </w:r>
          </w:p>
        </w:tc>
        <w:tc>
          <w:tcPr>
            <w:vAlign w:val="bottom"/>
          </w:tcPr>
          <w:p>
            <w:pPr>
              <w:spacing w:beforeAutospacing="true" w:afterAutospacing="true"/>
              <w:jc w:val="right"/>
            </w:pPr>
            <w:r>
              <w:rPr>
                <w:rFonts w:ascii="Calibri" w:hAnsi="Calibri"/>
                <w:color w:val="000000"/>
                <w:sz w:val="22"/>
              </w:rPr>
              <w:t xml:space="preserve">70,169,375</w:t>
            </w:r>
          </w:p>
        </w:tc>
      </w:tr>
    </w:tbl>
    <w:p>
      <w:pPr>
        <w:pStyle w:val="Caption"/>
        <w:jc w:val="center"/>
        <w:rPr>
          <w:rFonts w:asciiTheme="minorHAnsi" w:hAnsiTheme="minorHAnsi"/>
        </w:rPr>
      </w:pPr>
      <w:r>
        <w:rPr>
          <w:rFonts w:asciiTheme="minorHAnsi" w:hAnsiTheme="minorHAnsi"/>
        </w:rPr>
        <w:t xml:space="preserve">Table </w:t>
        <w:fldChar w:fldCharType="begin"/>
        <w:instrText xml:space="preserve"> SEQ Table \* ARABIC </w:instrText>
        <w:fldChar w:fldCharType="separate"/>
        <w:t>5</w:t>
        <w:fldChar w:fldCharType="end"/>
        <w:t xml:space="preserve"> – Fiscal Year Summary - HOME Match Report</w:t>
      </w:r>
    </w:p>
    <w:p>
      <w:pPr>
        <w:widowControl w:val="false"/>
        <w:spacing w:line="204" w:lineRule="auto"/>
        <w:rPr>
          <w:rFonts w:cs="Arial"/>
        </w:rPr>
      </w:pPr>
    </w:p>
    <w:p>
      <w:pPr>
        <w:widowControl w:val="false"/>
        <w:spacing w:line="204" w:lineRule="auto"/>
        <w:rPr>
          <w:rFonts w:cs="Arial"/>
        </w:rPr>
      </w:pPr>
    </w:p>
    <w:p>
      <w:pPr>
        <w:keepNext/>
        <w:spacing w:after="0" w:line="240" w:lineRule="auto"/>
        <w:rPr>
          <w:b/>
          <w:sz w:val="24"/>
          <w:szCs w:val="24"/>
        </w:rPr>
        <w:sectPr>
          <w:pgSz w:w="12240" w:h="15840" w:code="1"/>
          <w:pgMar w:top="1440" w:right="1440" w:bottom="1440" w:left="1440" w:header="720" w:footer="720" w:gutter="0"/>
          <w:cols w:space="720"/>
          <w:docGrid w:linePitch="360"/>
        </w:sectPr>
      </w:pPr>
    </w:p>
    <w:tbl>
      <w:tblPr>
        <w:tblW w:w="5000"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firstRow="1" w:lastRow="1" w:firstColumn="1" w:lastColumn="1" w:noHBand="0" w:noVBand="0" w:val="01E0"/>
      </w:tblPr>
      <w:tblGrid>
        <w:gridCol w:w="1465"/>
        <w:gridCol w:w="1465"/>
        <w:gridCol w:w="1465"/>
        <w:gridCol w:w="1465"/>
        <w:gridCol w:w="1466"/>
        <w:gridCol w:w="1466"/>
        <w:gridCol w:w="1466"/>
        <w:gridCol w:w="1466"/>
        <w:gridCol w:w="1466"/>
      </w:tblGrid>
      <w:tr>
        <w:trPr>
          <w:cantSplit/>
          <w:tblHeader/>
        </w:trPr>
        <w:tc>
          <w:tcPr>
            <w:tcW w:w="13176" w:type="dxa"/>
            <w:gridSpan w:val="9"/>
          </w:tcPr>
          <w:p>
            <w:pPr>
              <w:keepNext/>
              <w:widowControl w:val="false"/>
              <w:tabs>
                <w:tab w:val="left" w:pos="405"/>
                <w:tab w:val="center" w:pos="6480"/>
              </w:tabs>
              <w:spacing w:after="0" w:line="240" w:lineRule="auto"/>
              <w:rPr>
                <w:b/>
              </w:rPr>
            </w:pPr>
            <w:r>
              <w:rPr>
                <w:b/>
              </w:rPr>
              <w:tab/>
              <w:tab/>
              <w:t>Match Contribution for the Federal Fiscal Year</w:t>
            </w:r>
          </w:p>
        </w:tc>
      </w:tr>
      <w:tr>
        <w:trPr>
          <w:cantSplit/>
          <w:tblHeader/>
        </w:trPr>
        <w:tc>
          <w:tcPr>
            <w:tcW w:w="1464" w:type="dxa"/>
          </w:tcPr>
          <w:p>
            <w:pPr>
              <w:keepNext/>
              <w:widowControl w:val="false"/>
              <w:spacing w:after="0" w:line="240" w:lineRule="auto"/>
              <w:jc w:val="center"/>
              <w:rPr>
                <w:b/>
                <w:sz w:val="20"/>
                <w:szCs w:val="20"/>
              </w:rPr>
            </w:pPr>
            <w:r>
              <w:rPr>
                <w:b/>
                <w:sz w:val="20"/>
                <w:szCs w:val="20"/>
              </w:rPr>
              <w:t>Project No. or Other ID</w:t>
            </w:r>
          </w:p>
        </w:tc>
        <w:tc>
          <w:tcPr>
            <w:tcW w:w="1464" w:type="dxa"/>
          </w:tcPr>
          <w:p>
            <w:pPr>
              <w:keepNext/>
              <w:widowControl w:val="false"/>
              <w:spacing w:after="0" w:line="240" w:lineRule="auto"/>
              <w:jc w:val="center"/>
              <w:rPr>
                <w:b/>
                <w:sz w:val="20"/>
                <w:szCs w:val="20"/>
              </w:rPr>
            </w:pPr>
            <w:r>
              <w:rPr>
                <w:b/>
                <w:sz w:val="20"/>
                <w:szCs w:val="20"/>
              </w:rPr>
              <w:t>Date of Contribution</w:t>
            </w:r>
          </w:p>
        </w:tc>
        <w:tc>
          <w:tcPr>
            <w:tcW w:w="1464" w:type="dxa"/>
          </w:tcPr>
          <w:p>
            <w:pPr>
              <w:keepNext/>
              <w:widowControl w:val="false"/>
              <w:spacing w:after="0" w:line="240" w:lineRule="auto"/>
              <w:jc w:val="center"/>
              <w:rPr>
                <w:b/>
                <w:sz w:val="20"/>
                <w:szCs w:val="20"/>
              </w:rPr>
            </w:pPr>
            <w:r>
              <w:rPr>
                <w:b/>
                <w:sz w:val="20"/>
                <w:szCs w:val="20"/>
              </w:rPr>
              <w:t>Cash</w:t>
            </w:r>
          </w:p>
          <w:p>
            <w:pPr>
              <w:keepNext/>
              <w:widowControl w:val="false"/>
              <w:spacing w:after="0" w:line="240" w:lineRule="auto"/>
              <w:jc w:val="center"/>
              <w:rPr>
                <w:b/>
                <w:sz w:val="20"/>
                <w:szCs w:val="20"/>
              </w:rPr>
            </w:pPr>
            <w:r>
              <w:rPr>
                <w:b/>
                <w:sz w:val="20"/>
                <w:szCs w:val="20"/>
              </w:rPr>
              <w:t>(non-Federal sources)</w:t>
            </w:r>
          </w:p>
        </w:tc>
        <w:tc>
          <w:tcPr>
            <w:tcW w:w="1464" w:type="dxa"/>
          </w:tcPr>
          <w:p>
            <w:pPr>
              <w:keepNext/>
              <w:widowControl w:val="false"/>
              <w:spacing w:after="0" w:line="240" w:lineRule="auto"/>
              <w:jc w:val="center"/>
              <w:rPr>
                <w:b/>
                <w:sz w:val="20"/>
                <w:szCs w:val="20"/>
              </w:rPr>
            </w:pPr>
            <w:r>
              <w:rPr>
                <w:b/>
                <w:sz w:val="20"/>
                <w:szCs w:val="20"/>
              </w:rPr>
              <w:t>Foregone Taxes, Fees, Charges</w:t>
            </w:r>
          </w:p>
        </w:tc>
        <w:tc>
          <w:tcPr>
            <w:tcW w:w="1464" w:type="dxa"/>
          </w:tcPr>
          <w:p>
            <w:pPr>
              <w:keepNext/>
              <w:widowControl w:val="false"/>
              <w:spacing w:after="0" w:line="240" w:lineRule="auto"/>
              <w:jc w:val="center"/>
              <w:rPr>
                <w:b/>
                <w:sz w:val="20"/>
                <w:szCs w:val="20"/>
              </w:rPr>
            </w:pPr>
            <w:r>
              <w:rPr>
                <w:b/>
                <w:sz w:val="20"/>
                <w:szCs w:val="20"/>
              </w:rPr>
              <w:t>Appraised Land/Real Property</w:t>
            </w:r>
          </w:p>
        </w:tc>
        <w:tc>
          <w:tcPr>
            <w:tcW w:w="1464" w:type="dxa"/>
          </w:tcPr>
          <w:p>
            <w:pPr>
              <w:keepNext/>
              <w:widowControl w:val="false"/>
              <w:spacing w:after="0" w:line="240" w:lineRule="auto"/>
              <w:jc w:val="center"/>
              <w:rPr>
                <w:b/>
                <w:sz w:val="20"/>
                <w:szCs w:val="20"/>
              </w:rPr>
            </w:pPr>
            <w:r>
              <w:rPr>
                <w:b/>
                <w:sz w:val="20"/>
                <w:szCs w:val="20"/>
              </w:rPr>
              <w:t>Required Infrastructure</w:t>
            </w:r>
          </w:p>
        </w:tc>
        <w:tc>
          <w:tcPr>
            <w:tcW w:w="1464" w:type="dxa"/>
          </w:tcPr>
          <w:p>
            <w:pPr>
              <w:keepNext/>
              <w:widowControl w:val="false"/>
              <w:spacing w:after="0" w:line="240" w:lineRule="auto"/>
              <w:jc w:val="center"/>
              <w:rPr>
                <w:b/>
                <w:sz w:val="20"/>
                <w:szCs w:val="20"/>
              </w:rPr>
            </w:pPr>
            <w:r>
              <w:rPr>
                <w:b/>
                <w:sz w:val="20"/>
                <w:szCs w:val="20"/>
              </w:rPr>
              <w:t>Site Preparation, Construction Materials, Donated labor</w:t>
            </w:r>
          </w:p>
        </w:tc>
        <w:tc>
          <w:tcPr>
            <w:tcW w:w="1464" w:type="dxa"/>
          </w:tcPr>
          <w:p>
            <w:pPr>
              <w:keepNext/>
              <w:widowControl w:val="false"/>
              <w:spacing w:after="0" w:line="240" w:lineRule="auto"/>
              <w:jc w:val="center"/>
              <w:rPr>
                <w:b/>
                <w:sz w:val="20"/>
                <w:szCs w:val="20"/>
              </w:rPr>
            </w:pPr>
            <w:r>
              <w:rPr>
                <w:b/>
                <w:sz w:val="20"/>
                <w:szCs w:val="20"/>
              </w:rPr>
              <w:t>Bond Financing</w:t>
            </w:r>
          </w:p>
        </w:tc>
        <w:tc>
          <w:tcPr>
            <w:tcW w:w="1464" w:type="dxa"/>
          </w:tcPr>
          <w:p>
            <w:pPr>
              <w:keepNext/>
              <w:widowControl w:val="false"/>
              <w:spacing w:after="0" w:line="240" w:lineRule="auto"/>
              <w:jc w:val="center"/>
              <w:rPr>
                <w:b/>
                <w:sz w:val="20"/>
                <w:szCs w:val="20"/>
              </w:rPr>
            </w:pPr>
            <w:r>
              <w:rPr>
                <w:b/>
                <w:sz w:val="20"/>
                <w:szCs w:val="20"/>
              </w:rPr>
              <w:t>Total Match</w:t>
            </w:r>
          </w:p>
        </w:tc>
      </w:tr>
      <w:tr>
        <w:trPr>
          <w:cantSplit w:val="true"/>
        </w:trPr>
        <w:tc>
          <w:tcPr>
            <w:vAlign w:val="bottom"/>
          </w:tcPr>
          <w:p>
            <w:pPr>
              <w:spacing w:beforeAutospacing="true" w:afterAutospacing="true"/>
              <w:jc w:val="right"/>
            </w:pPr>
            <w:r>
              <w:rPr>
                <w:rFonts w:ascii="Calibri" w:hAnsi="Calibri"/>
                <w:color w:val="000000"/>
                <w:sz w:val="22"/>
              </w:rPr>
              <w:t xml:space="preserve">CHN Marsh Brook Place</w:t>
            </w:r>
          </w:p>
        </w:tc>
        <w:tc>
          <w:tcPr>
            <w:vAlign w:val="bottom"/>
          </w:tcPr>
          <w:p>
            <w:pPr>
              <w:spacing w:beforeAutospacing="true" w:afterAutospacing="true"/>
              <w:jc w:val="right"/>
            </w:pPr>
            <w:r>
              <w:rPr>
                <w:rFonts w:ascii="Calibri" w:hAnsi="Calibri"/>
                <w:color w:val="000000"/>
                <w:sz w:val="22"/>
              </w:rPr>
              <w:t xml:space="preserve">09/30/2019</w:t>
            </w:r>
          </w:p>
        </w:tc>
        <w:tc>
          <w:tcPr>
            <w:vAlign w:val="bottom"/>
          </w:tcPr>
          <w:p>
            <w:pPr>
              <w:spacing w:beforeAutospacing="true" w:afterAutospacing="true"/>
              <w:jc w:val="right"/>
            </w:pPr>
            <w:r>
              <w:rPr>
                <w:rFonts w:ascii="Calibri" w:hAnsi="Calibri"/>
                <w:color w:val="000000"/>
                <w:sz w:val="22"/>
              </w:rPr>
              <w:t xml:space="preserve">343,604</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1,202,614</w:t>
            </w:r>
          </w:p>
        </w:tc>
      </w:tr>
      <w:tr>
        <w:trPr>
          <w:cantSplit w:val="true"/>
        </w:trPr>
        <w:tc>
          <w:tcPr>
            <w:vAlign w:val="bottom"/>
          </w:tcPr>
          <w:p>
            <w:pPr>
              <w:spacing w:beforeAutospacing="true" w:afterAutospacing="true"/>
              <w:jc w:val="right"/>
            </w:pPr>
            <w:r>
              <w:rPr>
                <w:rFonts w:ascii="Calibri" w:hAnsi="Calibri"/>
                <w:color w:val="000000"/>
                <w:sz w:val="22"/>
              </w:rPr>
              <w:t xml:space="preserve">CHN Parsons Place</w:t>
            </w:r>
          </w:p>
        </w:tc>
        <w:tc>
          <w:tcPr>
            <w:vAlign w:val="bottom"/>
          </w:tcPr>
          <w:p>
            <w:pPr>
              <w:spacing w:beforeAutospacing="true" w:afterAutospacing="true"/>
              <w:jc w:val="right"/>
            </w:pPr>
            <w:r>
              <w:rPr>
                <w:rFonts w:ascii="Calibri" w:hAnsi="Calibri"/>
                <w:color w:val="000000"/>
                <w:sz w:val="22"/>
              </w:rPr>
              <w:t xml:space="preserve">09/30/2019</w:t>
            </w:r>
          </w:p>
        </w:tc>
        <w:tc>
          <w:tcPr>
            <w:vAlign w:val="bottom"/>
          </w:tcPr>
          <w:p>
            <w:pPr>
              <w:spacing w:beforeAutospacing="true" w:afterAutospacing="true"/>
              <w:jc w:val="right"/>
            </w:pPr>
            <w:r>
              <w:rPr>
                <w:rFonts w:ascii="Calibri" w:hAnsi="Calibri"/>
                <w:color w:val="000000"/>
                <w:sz w:val="22"/>
              </w:rPr>
              <w:t xml:space="preserve">859,010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859,010</w:t>
            </w:r>
          </w:p>
        </w:tc>
      </w:tr>
    </w:tbl>
    <w:p>
      <w:pPr>
        <w:pStyle w:val="Caption"/>
        <w:jc w:val="center"/>
        <w:rPr>
          <w:rFonts w:asciiTheme="minorHAnsi" w:hAnsiTheme="minorHAnsi"/>
        </w:rPr>
      </w:pPr>
      <w:r>
        <w:rPr>
          <w:rFonts w:asciiTheme="minorHAnsi" w:hAnsiTheme="minorHAnsi"/>
        </w:rPr>
        <w:t xml:space="preserve">Table </w:t>
        <w:fldChar w:fldCharType="begin"/>
        <w:instrText xml:space="preserve"> SEQ Table \* ARABIC </w:instrText>
        <w:fldChar w:fldCharType="separate"/>
        <w:t>6</w:t>
        <w:fldChar w:fldCharType="end"/>
        <w:t xml:space="preserve"> – Match Contribution for the Federal Fiscal Year</w:t>
      </w:r>
    </w:p>
    <w:p/>
    <w:p>
      <w:pPr>
        <w:widowControl w:val="false"/>
        <w:spacing w:line="204" w:lineRule="auto"/>
        <w:rPr>
          <w:b/>
          <w:sz w:val="24"/>
          <w:szCs w:val="24"/>
        </w:rPr>
      </w:pPr>
      <w:r>
        <w:rPr>
          <w:b/>
          <w:sz w:val="24"/>
          <w:szCs w:val="24"/>
        </w:rPr>
        <w:t>HOME MBE/WBE report</w:t>
      </w:r>
    </w:p>
    <w:tbl>
      <w:tblPr>
        <w:tblW w:w="5000"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firstRow="1" w:lastRow="1" w:firstColumn="1" w:lastColumn="1" w:noHBand="0" w:noVBand="0" w:val="01E0"/>
      </w:tblPr>
      <w:tblGrid>
        <w:gridCol w:w="2637"/>
        <w:gridCol w:w="2638"/>
        <w:gridCol w:w="2638"/>
        <w:gridCol w:w="2638"/>
        <w:gridCol w:w="2639"/>
      </w:tblGrid>
      <w:tr>
        <w:trPr>
          <w:cantSplit/>
          <w:tblHeader/>
        </w:trPr>
        <w:tc>
          <w:tcPr>
            <w:tcW w:w="13176" w:type="dxa"/>
            <w:gridSpan w:val="5"/>
          </w:tcPr>
          <w:p>
            <w:pPr>
              <w:keepNext/>
              <w:widowControl w:val="false"/>
              <w:spacing w:after="0" w:line="240" w:lineRule="auto"/>
              <w:rPr>
                <w:b/>
              </w:rPr>
            </w:pPr>
            <w:r>
              <w:rPr>
                <w:b/>
              </w:rPr>
              <w:t xml:space="preserve">Program Income </w:t>
            </w:r>
            <w:r>
              <w:t>– Enter the program amounts for the reporting period</w:t>
            </w:r>
          </w:p>
        </w:tc>
      </w:tr>
      <w:tr>
        <w:trPr>
          <w:cantSplit/>
          <w:tblHeader/>
        </w:trPr>
        <w:tc>
          <w:tcPr>
            <w:tcW w:w="2635" w:type="dxa"/>
          </w:tcPr>
          <w:p>
            <w:pPr>
              <w:keepNext/>
              <w:spacing w:after="0" w:line="240" w:lineRule="auto"/>
              <w:jc w:val="center"/>
              <w:rPr>
                <w:b/>
              </w:rPr>
            </w:pPr>
            <w:r>
              <w:rPr>
                <w:b/>
              </w:rPr>
              <w:t>Balance on hand at begin-ning of reporting period</w:t>
            </w:r>
          </w:p>
          <w:p>
            <w:pPr>
              <w:keepNext/>
              <w:spacing w:after="0" w:line="240" w:lineRule="auto"/>
              <w:jc w:val="center"/>
              <w:rPr>
                <w:b/>
              </w:rPr>
            </w:pPr>
            <w:r>
              <w:rPr>
                <w:b/>
              </w:rPr>
              <w:t>$</w:t>
            </w:r>
          </w:p>
        </w:tc>
        <w:tc>
          <w:tcPr>
            <w:tcW w:w="2635" w:type="dxa"/>
          </w:tcPr>
          <w:p>
            <w:pPr>
              <w:keepNext/>
              <w:spacing w:after="0" w:line="240" w:lineRule="auto"/>
              <w:jc w:val="center"/>
              <w:rPr>
                <w:b/>
              </w:rPr>
            </w:pPr>
            <w:r>
              <w:rPr>
                <w:b/>
              </w:rPr>
              <w:t>Amount received during reporting period</w:t>
            </w:r>
          </w:p>
          <w:p>
            <w:pPr>
              <w:keepNext/>
              <w:spacing w:after="0" w:line="240" w:lineRule="auto"/>
              <w:jc w:val="center"/>
              <w:rPr>
                <w:b/>
              </w:rPr>
            </w:pPr>
            <w:r>
              <w:rPr>
                <w:b/>
              </w:rPr>
              <w:t>$</w:t>
            </w:r>
          </w:p>
        </w:tc>
        <w:tc>
          <w:tcPr>
            <w:tcW w:w="2635" w:type="dxa"/>
          </w:tcPr>
          <w:p>
            <w:pPr>
              <w:keepNext/>
              <w:spacing w:after="0" w:line="240" w:lineRule="auto"/>
              <w:jc w:val="center"/>
              <w:rPr>
                <w:b/>
              </w:rPr>
            </w:pPr>
            <w:r>
              <w:rPr>
                <w:b/>
              </w:rPr>
              <w:t>Total amount expended during reporting period</w:t>
            </w:r>
          </w:p>
          <w:p>
            <w:pPr>
              <w:keepNext/>
              <w:spacing w:after="0" w:line="240" w:lineRule="auto"/>
              <w:jc w:val="center"/>
              <w:rPr>
                <w:b/>
              </w:rPr>
            </w:pPr>
            <w:r>
              <w:rPr>
                <w:b/>
              </w:rPr>
              <w:t>$</w:t>
            </w:r>
          </w:p>
        </w:tc>
        <w:tc>
          <w:tcPr>
            <w:tcW w:w="2635" w:type="dxa"/>
          </w:tcPr>
          <w:p>
            <w:pPr>
              <w:keepNext/>
              <w:spacing w:after="0" w:line="240" w:lineRule="auto"/>
              <w:jc w:val="center"/>
              <w:rPr>
                <w:b/>
              </w:rPr>
            </w:pPr>
            <w:r>
              <w:rPr>
                <w:b/>
              </w:rPr>
              <w:t>Amount expended for TBRA</w:t>
            </w:r>
          </w:p>
          <w:p>
            <w:pPr>
              <w:keepNext/>
              <w:spacing w:after="0" w:line="240" w:lineRule="auto"/>
              <w:jc w:val="center"/>
              <w:rPr>
                <w:b/>
              </w:rPr>
            </w:pPr>
            <w:r>
              <w:rPr>
                <w:b/>
              </w:rPr>
              <w:t>$</w:t>
            </w:r>
          </w:p>
        </w:tc>
        <w:tc>
          <w:tcPr>
            <w:tcW w:w="2636" w:type="dxa"/>
          </w:tcPr>
          <w:p>
            <w:pPr>
              <w:keepNext/>
              <w:spacing w:after="0" w:line="240" w:lineRule="auto"/>
              <w:jc w:val="center"/>
              <w:rPr>
                <w:b/>
              </w:rPr>
            </w:pPr>
            <w:r>
              <w:rPr>
                <w:b/>
              </w:rPr>
              <w:t>Balance on hand at end of reporting period</w:t>
            </w:r>
          </w:p>
          <w:p>
            <w:pPr>
              <w:keepNext/>
              <w:spacing w:after="0" w:line="240" w:lineRule="auto"/>
              <w:jc w:val="center"/>
              <w:rPr>
                <w:b/>
              </w:rPr>
            </w:pPr>
            <w:r>
              <w:rPr>
                <w:b/>
              </w:rPr>
              <w:t>$</w:t>
            </w:r>
          </w:p>
        </w:tc>
      </w:tr>
      <w:tr>
        <w:trPr>
          <w:cantSplit w:val="true"/>
        </w:trPr>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449,926</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325,000</w:t>
            </w:r>
          </w:p>
        </w:tc>
        <w:tc>
          <w:tcPr>
            <w:vAlign w:val="bottom"/>
          </w:tcPr>
          <w:p>
            <w:pPr>
              <w:spacing w:beforeAutospacing="true" w:afterAutospacing="true"/>
              <w:jc w:val="right"/>
            </w:pPr>
            <w:r>
              <w:rPr>
                <w:rFonts w:ascii="Calibri" w:hAnsi="Calibri"/>
                <w:color w:val="000000"/>
                <w:sz w:val="22"/>
              </w:rPr>
              <w:t xml:space="preserve">449,926</w:t>
            </w:r>
          </w:p>
        </w:tc>
      </w:tr>
    </w:tbl>
    <w:p>
      <w:pPr>
        <w:pStyle w:val="Caption"/>
        <w:jc w:val="center"/>
        <w:rPr>
          <w:rFonts w:asciiTheme="minorHAnsi" w:hAnsiTheme="minorHAnsi"/>
        </w:rPr>
      </w:pPr>
      <w:r>
        <w:rPr>
          <w:rFonts w:asciiTheme="minorHAnsi" w:hAnsiTheme="minorHAnsi"/>
        </w:rPr>
        <w:t xml:space="preserve">Table </w:t>
        <w:fldChar w:fldCharType="begin"/>
        <w:instrText xml:space="preserve"> SEQ Table \* ARABIC </w:instrText>
        <w:fldChar w:fldCharType="separate"/>
        <w:t>7</w:t>
        <w:fldChar w:fldCharType="end"/>
        <w:t xml:space="preserve"> – Program Income</w:t>
      </w:r>
    </w:p>
    <w:p>
      <w:pPr>
        <w:widowControl w:val="false"/>
        <w:spacing w:after="0" w:line="240" w:lineRule="auto"/>
        <w:rPr>
          <w:b/>
          <w:sz w:val="20"/>
          <w:szCs w:val="20"/>
        </w:rPr>
      </w:pPr>
    </w:p>
    <w:p>
      <w:pPr>
        <w:widowControl w:val="false"/>
        <w:spacing w:after="0" w:line="240" w:lineRule="auto"/>
        <w:jc w:val="center"/>
        <w:rPr>
          <w:b/>
          <w:sz w:val="20"/>
          <w:szCs w:val="20"/>
        </w:rPr>
        <w:sectPr>
          <w:pgSz w:w="15840" w:h="12240" w:orient="landscape" w:code="1"/>
          <w:pgMar w:top="1440" w:right="1440" w:bottom="1440" w:left="1440" w:header="720" w:footer="720" w:gutter="0"/>
          <w:cols w:space="720"/>
          <w:docGrid w:linePitch="360"/>
        </w:sectPr>
      </w:pPr>
    </w:p>
    <w:tbl>
      <w:tblPr>
        <w:tblW w:w="5000"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9576"/>
      </w:tblGrid>
      <w:tr>
        <w:tc>
          <w:tcPr>
            <w:tcW w:w="9576" w:type="dxa"/>
          </w:tcPr>
          <w:p>
            <w:pPr>
              <w:keepNext/>
              <w:widowControl w:val="false"/>
              <w:spacing w:after="0" w:line="240" w:lineRule="auto"/>
              <w:rPr>
                <w:b/>
              </w:rPr>
            </w:pPr>
            <w:r>
              <w:rPr>
                <w:b/>
              </w:rPr>
              <w:t xml:space="preserve">Minority Business Enterprises and Women Business Enterprises – </w:t>
            </w:r>
            <w:r>
              <w:t>Indicate the number and dollar value of contracts for HOME projects completed during the reporting period</w:t>
            </w:r>
          </w:p>
        </w:tc>
      </w:tr>
    </w:tbl>
    <w:p>
      <w:pPr>
        <w:keepNext/>
        <w:widowControl w:val="false"/>
        <w:spacing w:after="0" w:line="240" w:lineRule="auto"/>
        <w:rPr>
          <w:b/>
          <w:vanish/>
          <w:sz w:val="24"/>
          <w:szCs w:val="24"/>
        </w:rPr>
      </w:pPr>
    </w:p>
    <w:tbl>
      <w:tblPr>
        <w:tblW w:w="5000"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firstRow="1" w:lastRow="1" w:firstColumn="1" w:lastColumn="1" w:noHBand="0" w:noVBand="0" w:val="01E0"/>
      </w:tblPr>
      <w:tblGrid>
        <w:gridCol w:w="1370"/>
        <w:gridCol w:w="1370"/>
        <w:gridCol w:w="1370"/>
        <w:gridCol w:w="1370"/>
        <w:gridCol w:w="1370"/>
        <w:gridCol w:w="1370"/>
        <w:gridCol w:w="1370"/>
      </w:tblGrid>
      <w:tr>
        <w:trPr>
          <w:cantSplit/>
        </w:trPr>
        <w:tc>
          <w:tcPr>
            <w:tcW w:w="1368" w:type="dxa"/>
            <w:vMerge w:val="restart"/>
          </w:tcPr>
          <w:p>
            <w:pPr>
              <w:keepNext/>
              <w:widowControl w:val="false"/>
              <w:spacing w:after="0" w:line="240" w:lineRule="auto"/>
              <w:rPr>
                <w:b/>
              </w:rPr>
            </w:pPr>
          </w:p>
        </w:tc>
        <w:tc>
          <w:tcPr>
            <w:tcW w:w="1368" w:type="dxa"/>
            <w:vMerge w:val="restart"/>
          </w:tcPr>
          <w:p>
            <w:pPr>
              <w:keepNext/>
              <w:widowControl w:val="false"/>
              <w:spacing w:after="0" w:line="240" w:lineRule="auto"/>
              <w:jc w:val="center"/>
              <w:rPr>
                <w:b/>
              </w:rPr>
            </w:pPr>
            <w:r>
              <w:rPr>
                <w:b/>
              </w:rPr>
              <w:t>Total</w:t>
            </w:r>
          </w:p>
        </w:tc>
        <w:tc>
          <w:tcPr>
            <w:tcW w:w="5472" w:type="dxa"/>
            <w:gridSpan w:val="4"/>
          </w:tcPr>
          <w:p>
            <w:pPr>
              <w:keepNext/>
              <w:widowControl w:val="false"/>
              <w:spacing w:after="0" w:line="240" w:lineRule="auto"/>
              <w:jc w:val="center"/>
              <w:rPr>
                <w:b/>
              </w:rPr>
            </w:pPr>
            <w:r>
              <w:rPr>
                <w:b/>
              </w:rPr>
              <w:t>Minority Business Enterprises</w:t>
            </w:r>
          </w:p>
        </w:tc>
        <w:tc>
          <w:tcPr>
            <w:tcW w:w="1368" w:type="dxa"/>
            <w:vMerge w:val="restart"/>
          </w:tcPr>
          <w:p>
            <w:pPr>
              <w:keepNext/>
              <w:widowControl w:val="false"/>
              <w:spacing w:after="0" w:line="240" w:lineRule="auto"/>
              <w:jc w:val="center"/>
              <w:rPr>
                <w:b/>
              </w:rPr>
            </w:pPr>
            <w:r>
              <w:rPr>
                <w:b/>
              </w:rPr>
              <w:t>White Non-Hispanic</w:t>
            </w:r>
          </w:p>
        </w:tc>
      </w:tr>
      <w:tr>
        <w:trPr>
          <w:cantSplit/>
        </w:trPr>
        <w:tc>
          <w:tcPr>
            <w:tcW w:w="1368" w:type="dxa"/>
            <w:vMerge/>
          </w:tcPr>
          <w:p>
            <w:pPr>
              <w:keepNext/>
              <w:widowControl w:val="false"/>
              <w:spacing w:after="0" w:line="240" w:lineRule="auto"/>
              <w:rPr>
                <w:b/>
              </w:rPr>
            </w:pPr>
          </w:p>
        </w:tc>
        <w:tc>
          <w:tcPr>
            <w:tcW w:w="1368" w:type="dxa"/>
            <w:vMerge/>
          </w:tcPr>
          <w:p>
            <w:pPr>
              <w:keepNext/>
              <w:widowControl w:val="false"/>
              <w:spacing w:after="0" w:line="240" w:lineRule="auto"/>
              <w:rPr>
                <w:b/>
              </w:rPr>
            </w:pPr>
          </w:p>
        </w:tc>
        <w:tc>
          <w:tcPr>
            <w:tcW w:w="1368" w:type="dxa"/>
          </w:tcPr>
          <w:p>
            <w:pPr>
              <w:keepNext/>
              <w:spacing w:after="0" w:line="240" w:lineRule="auto"/>
              <w:jc w:val="center"/>
              <w:rPr>
                <w:b/>
              </w:rPr>
            </w:pPr>
            <w:r>
              <w:rPr>
                <w:b/>
              </w:rPr>
              <w:t>Alaskan Native or American Indian</w:t>
            </w:r>
          </w:p>
        </w:tc>
        <w:tc>
          <w:tcPr>
            <w:tcW w:w="1368" w:type="dxa"/>
          </w:tcPr>
          <w:p>
            <w:pPr>
              <w:keepNext/>
              <w:widowControl w:val="false"/>
              <w:spacing w:after="0" w:line="240" w:lineRule="auto"/>
              <w:jc w:val="center"/>
              <w:rPr>
                <w:b/>
              </w:rPr>
            </w:pPr>
            <w:r>
              <w:rPr>
                <w:b/>
              </w:rPr>
              <w:t>Asian or Pacific Islander</w:t>
            </w:r>
          </w:p>
        </w:tc>
        <w:tc>
          <w:tcPr>
            <w:tcW w:w="1368" w:type="dxa"/>
          </w:tcPr>
          <w:p>
            <w:pPr>
              <w:keepNext/>
              <w:widowControl w:val="false"/>
              <w:spacing w:after="0" w:line="240" w:lineRule="auto"/>
              <w:jc w:val="center"/>
              <w:rPr>
                <w:b/>
              </w:rPr>
            </w:pPr>
            <w:r>
              <w:rPr>
                <w:b/>
              </w:rPr>
              <w:t>Black Non-Hispanic</w:t>
            </w:r>
          </w:p>
        </w:tc>
        <w:tc>
          <w:tcPr>
            <w:tcW w:w="1368" w:type="dxa"/>
          </w:tcPr>
          <w:p>
            <w:pPr>
              <w:keepNext/>
              <w:widowControl w:val="false"/>
              <w:spacing w:after="0" w:line="240" w:lineRule="auto"/>
              <w:jc w:val="center"/>
              <w:rPr>
                <w:b/>
              </w:rPr>
            </w:pPr>
            <w:r>
              <w:rPr>
                <w:b/>
              </w:rPr>
              <w:t>Hispanic</w:t>
            </w:r>
          </w:p>
        </w:tc>
        <w:tc>
          <w:tcPr>
            <w:tcW w:w="1368" w:type="dxa"/>
            <w:vMerge/>
          </w:tcPr>
          <w:p>
            <w:pPr>
              <w:keepNext/>
              <w:widowControl w:val="false"/>
              <w:spacing w:after="0" w:line="240" w:lineRule="auto"/>
              <w:jc w:val="center"/>
              <w:rPr>
                <w:b/>
              </w:rPr>
            </w:pPr>
          </w:p>
        </w:tc>
      </w:tr>
    </w:tbl>
    <w:p>
      <w:pPr>
        <w:keepNext/>
        <w:widowControl w:val="false"/>
        <w:spacing w:after="0" w:line="240" w:lineRule="auto"/>
        <w:rPr>
          <w:b/>
          <w:vanish/>
          <w:sz w:val="24"/>
          <w:szCs w:val="24"/>
        </w:rPr>
      </w:pPr>
    </w:p>
    <w:tbl>
      <w:tblPr>
        <w:tblW w:w="5000"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firstRow="1" w:lastRow="1" w:firstColumn="1" w:lastColumn="1" w:noHBand="0" w:noVBand="0" w:val="01E0"/>
      </w:tblPr>
      <w:tblGrid>
        <w:gridCol w:w="1370"/>
        <w:gridCol w:w="1370"/>
        <w:gridCol w:w="1370"/>
        <w:gridCol w:w="1370"/>
        <w:gridCol w:w="1370"/>
        <w:gridCol w:w="1370"/>
        <w:gridCol w:w="1370"/>
      </w:tblGrid>
      <w:tr>
        <w:trPr>
          <w:cantSplit/>
        </w:trPr>
        <w:tc>
          <w:tcPr>
            <w:tcW w:w="9576" w:type="dxa"/>
            <w:gridSpan w:val="7"/>
          </w:tcPr>
          <w:p>
            <w:pPr>
              <w:keepNext/>
              <w:widowControl w:val="false"/>
              <w:spacing w:after="0" w:line="240" w:lineRule="auto"/>
              <w:rPr>
                <w:b/>
              </w:rPr>
            </w:pPr>
            <w:r>
              <w:rPr>
                <w:b/>
              </w:rPr>
              <w:t>Contracts</w:t>
            </w:r>
          </w:p>
        </w:tc>
      </w:tr>
      <w:tr>
        <w:trPr>
          <w:cantSplit/>
          <w:hidden/>
        </w:trPr>
        <w:tc>
          <w:tcPr>
            <w:tcW w:w="1368" w:type="dxa"/>
          </w:tcPr>
          <w:p>
            <w:pPr>
              <w:keepNext/>
              <w:widowControl w:val="false"/>
              <w:spacing w:after="0" w:line="240" w:lineRule="auto"/>
              <w:rPr>
                <w:b/>
                <w:vanish/>
              </w:rPr>
            </w:pPr>
          </w:p>
        </w:tc>
        <w:tc>
          <w:tcPr>
            <w:tcW w:w="1368" w:type="dxa"/>
          </w:tcPr>
          <w:p>
            <w:pPr>
              <w:keepNext/>
              <w:widowControl w:val="false"/>
              <w:spacing w:after="0" w:line="240" w:lineRule="auto"/>
              <w:rPr>
                <w:b/>
                <w:vanish/>
              </w:rPr>
            </w:pPr>
          </w:p>
        </w:tc>
        <w:tc>
          <w:tcPr>
            <w:tcW w:w="1368" w:type="dxa"/>
          </w:tcPr>
          <w:p>
            <w:pPr>
              <w:keepNext/>
              <w:widowControl w:val="false"/>
              <w:spacing w:after="0" w:line="240" w:lineRule="auto"/>
              <w:rPr>
                <w:b/>
                <w:vanish/>
              </w:rPr>
            </w:pPr>
          </w:p>
        </w:tc>
        <w:tc>
          <w:tcPr>
            <w:tcW w:w="1368" w:type="dxa"/>
          </w:tcPr>
          <w:p>
            <w:pPr>
              <w:keepNext/>
              <w:widowControl w:val="false"/>
              <w:spacing w:after="0" w:line="240" w:lineRule="auto"/>
              <w:rPr>
                <w:b/>
                <w:vanish/>
              </w:rPr>
            </w:pPr>
          </w:p>
        </w:tc>
        <w:tc>
          <w:tcPr>
            <w:tcW w:w="1368" w:type="dxa"/>
          </w:tcPr>
          <w:p>
            <w:pPr>
              <w:keepNext/>
              <w:widowControl w:val="false"/>
              <w:spacing w:after="0" w:line="240" w:lineRule="auto"/>
              <w:rPr>
                <w:b/>
                <w:vanish/>
              </w:rPr>
            </w:pPr>
          </w:p>
        </w:tc>
        <w:tc>
          <w:tcPr>
            <w:tcW w:w="1368" w:type="dxa"/>
          </w:tcPr>
          <w:p>
            <w:pPr>
              <w:keepNext/>
              <w:widowControl w:val="false"/>
              <w:spacing w:after="0" w:line="240" w:lineRule="auto"/>
              <w:rPr>
                <w:b/>
                <w:vanish/>
              </w:rPr>
            </w:pPr>
          </w:p>
        </w:tc>
        <w:tc>
          <w:tcPr>
            <w:tcW w:w="1368" w:type="dxa"/>
          </w:tcPr>
          <w:p>
            <w:pPr>
              <w:keepNext/>
              <w:widowControl w:val="false"/>
              <w:spacing w:after="0" w:line="240" w:lineRule="auto"/>
              <w:rPr>
                <w:b/>
                <w:vanish/>
              </w:rPr>
            </w:pPr>
          </w:p>
        </w:tc>
      </w:tr>
      <w:tr>
        <w:trPr>
          <w:cantSplit w:val="true"/>
        </w:trPr>
        <w:tc>
          <w:tcPr>
            <w:vAlign w:val="top"/>
          </w:tcPr>
          <w:p>
            <w:pPr>
              <w:spacing w:beforeAutospacing="true" w:afterAutospacing="true"/>
              <w:jc w:val="left"/>
            </w:pPr>
            <w:r>
              <w:rPr>
                <w:rFonts w:ascii="Calibri" w:hAnsi="Calibri"/>
                <w:color w:val="000000"/>
                <w:sz w:val="22"/>
              </w:rPr>
              <w:t xml:space="preserve">Dollar Amount</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top"/>
          </w:tcPr>
          <w:p>
            <w:pPr>
              <w:spacing w:beforeAutospacing="true" w:afterAutospacing="true"/>
              <w:jc w:val="left"/>
            </w:pPr>
            <w:r>
              <w:rPr>
                <w:rFonts w:ascii="Calibri" w:hAnsi="Calibri"/>
                <w:color w:val="000000"/>
                <w:sz w:val="22"/>
              </w:rPr>
              <w:t xml:space="preserve">Number</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bl>
    <w:p>
      <w:pPr>
        <w:keepNext/>
        <w:widowControl w:val="false"/>
        <w:spacing w:after="0" w:line="240" w:lineRule="auto"/>
        <w:rPr>
          <w:b/>
          <w:vanish/>
          <w:sz w:val="24"/>
          <w:szCs w:val="24"/>
        </w:rPr>
      </w:pPr>
    </w:p>
    <w:tbl>
      <w:tblPr>
        <w:tblW w:w="5000"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firstRow="1" w:lastRow="1" w:firstColumn="1" w:lastColumn="1" w:noHBand="0" w:noVBand="0" w:val="01E0"/>
      </w:tblPr>
      <w:tblGrid>
        <w:gridCol w:w="1370"/>
        <w:gridCol w:w="1370"/>
        <w:gridCol w:w="1370"/>
        <w:gridCol w:w="1370"/>
        <w:gridCol w:w="1370"/>
        <w:gridCol w:w="1370"/>
        <w:gridCol w:w="1370"/>
      </w:tblGrid>
      <w:tr>
        <w:trPr>
          <w:cantSplit/>
        </w:trPr>
        <w:tc>
          <w:tcPr>
            <w:tcW w:w="9576" w:type="dxa"/>
            <w:gridSpan w:val="7"/>
          </w:tcPr>
          <w:p>
            <w:pPr>
              <w:keepNext/>
              <w:widowControl w:val="false"/>
              <w:spacing w:after="0" w:line="240" w:lineRule="auto"/>
              <w:rPr>
                <w:b/>
              </w:rPr>
            </w:pPr>
            <w:r>
              <w:rPr>
                <w:b/>
              </w:rPr>
              <w:t>Sub-Contracts</w:t>
            </w:r>
          </w:p>
        </w:tc>
      </w:tr>
      <w:tr>
        <w:trPr>
          <w:cantSplit/>
          <w:hidden/>
        </w:trPr>
        <w:tc>
          <w:tcPr>
            <w:tcW w:w="1368" w:type="dxa"/>
          </w:tcPr>
          <w:p>
            <w:pPr>
              <w:keepNext/>
              <w:widowControl w:val="false"/>
              <w:spacing w:after="0" w:line="240" w:lineRule="auto"/>
              <w:rPr>
                <w:b/>
                <w:vanish/>
              </w:rPr>
            </w:pPr>
          </w:p>
        </w:tc>
        <w:tc>
          <w:tcPr>
            <w:tcW w:w="1368" w:type="dxa"/>
          </w:tcPr>
          <w:p>
            <w:pPr>
              <w:keepNext/>
              <w:widowControl w:val="false"/>
              <w:spacing w:after="0" w:line="240" w:lineRule="auto"/>
              <w:rPr>
                <w:b/>
                <w:vanish/>
              </w:rPr>
            </w:pPr>
          </w:p>
        </w:tc>
        <w:tc>
          <w:tcPr>
            <w:tcW w:w="1368" w:type="dxa"/>
          </w:tcPr>
          <w:p>
            <w:pPr>
              <w:keepNext/>
              <w:widowControl w:val="false"/>
              <w:spacing w:after="0" w:line="240" w:lineRule="auto"/>
              <w:rPr>
                <w:b/>
                <w:vanish/>
              </w:rPr>
            </w:pPr>
          </w:p>
        </w:tc>
        <w:tc>
          <w:tcPr>
            <w:tcW w:w="1368" w:type="dxa"/>
          </w:tcPr>
          <w:p>
            <w:pPr>
              <w:keepNext/>
              <w:widowControl w:val="false"/>
              <w:spacing w:after="0" w:line="240" w:lineRule="auto"/>
              <w:rPr>
                <w:b/>
                <w:vanish/>
              </w:rPr>
            </w:pPr>
          </w:p>
        </w:tc>
        <w:tc>
          <w:tcPr>
            <w:tcW w:w="1368" w:type="dxa"/>
          </w:tcPr>
          <w:p>
            <w:pPr>
              <w:keepNext/>
              <w:widowControl w:val="false"/>
              <w:spacing w:after="0" w:line="240" w:lineRule="auto"/>
              <w:rPr>
                <w:b/>
                <w:vanish/>
              </w:rPr>
            </w:pPr>
          </w:p>
        </w:tc>
        <w:tc>
          <w:tcPr>
            <w:tcW w:w="1368" w:type="dxa"/>
          </w:tcPr>
          <w:p>
            <w:pPr>
              <w:keepNext/>
              <w:widowControl w:val="false"/>
              <w:spacing w:after="0" w:line="240" w:lineRule="auto"/>
              <w:rPr>
                <w:b/>
                <w:vanish/>
              </w:rPr>
            </w:pPr>
          </w:p>
        </w:tc>
        <w:tc>
          <w:tcPr>
            <w:tcW w:w="1368" w:type="dxa"/>
          </w:tcPr>
          <w:p>
            <w:pPr>
              <w:keepNext/>
              <w:widowControl w:val="false"/>
              <w:spacing w:after="0" w:line="240" w:lineRule="auto"/>
              <w:rPr>
                <w:b/>
                <w:vanish/>
              </w:rPr>
            </w:pPr>
          </w:p>
        </w:tc>
      </w:tr>
      <w:tr>
        <w:trPr>
          <w:cantSplit w:val="true"/>
        </w:trPr>
        <w:tc>
          <w:tcPr>
            <w:vAlign w:val="top"/>
          </w:tcPr>
          <w:p>
            <w:pPr>
              <w:spacing w:beforeAutospacing="true" w:afterAutospacing="true"/>
              <w:jc w:val="left"/>
            </w:pPr>
            <w:r>
              <w:rPr>
                <w:rFonts w:ascii="Calibri" w:hAnsi="Calibri"/>
                <w:color w:val="000000"/>
                <w:sz w:val="22"/>
              </w:rPr>
              <w:t xml:space="preserve">Number</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top"/>
          </w:tcPr>
          <w:p>
            <w:pPr>
              <w:spacing w:beforeAutospacing="true" w:afterAutospacing="true"/>
              <w:jc w:val="left"/>
            </w:pPr>
            <w:r>
              <w:rPr>
                <w:rFonts w:ascii="Calibri" w:hAnsi="Calibri"/>
                <w:color w:val="000000"/>
                <w:sz w:val="22"/>
              </w:rPr>
              <w:t xml:space="preserve">Dollar Amount</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bl>
    <w:p>
      <w:pPr>
        <w:widowControl w:val="false"/>
        <w:spacing w:after="0" w:line="240" w:lineRule="auto"/>
        <w:rPr>
          <w:b/>
          <w:vanish/>
          <w:sz w:val="24"/>
          <w:szCs w:val="24"/>
        </w:rPr>
      </w:pPr>
    </w:p>
    <w:tbl>
      <w:tblPr>
        <w:tblW w:w="2860"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firstRow="1" w:lastRow="1" w:firstColumn="1" w:lastColumn="1" w:noHBand="0" w:noVBand="0" w:val="01E0"/>
      </w:tblPr>
      <w:tblGrid>
        <w:gridCol w:w="1372"/>
        <w:gridCol w:w="1371"/>
        <w:gridCol w:w="1371"/>
        <w:gridCol w:w="1371"/>
      </w:tblGrid>
      <w:tr>
        <w:trPr>
          <w:cantSplit/>
        </w:trPr>
        <w:tc>
          <w:tcPr>
            <w:tcW w:w="1394" w:type="dxa"/>
          </w:tcPr>
          <w:p>
            <w:pPr>
              <w:keepNext/>
              <w:widowControl w:val="false"/>
              <w:spacing w:after="0" w:line="240" w:lineRule="auto"/>
              <w:rPr>
                <w:b/>
              </w:rPr>
            </w:pPr>
          </w:p>
        </w:tc>
        <w:tc>
          <w:tcPr>
            <w:tcW w:w="1393" w:type="dxa"/>
          </w:tcPr>
          <w:p>
            <w:pPr>
              <w:keepNext/>
              <w:widowControl w:val="false"/>
              <w:spacing w:after="0" w:line="240" w:lineRule="auto"/>
              <w:jc w:val="center"/>
              <w:rPr>
                <w:b/>
              </w:rPr>
            </w:pPr>
            <w:r>
              <w:rPr>
                <w:b/>
              </w:rPr>
              <w:t>Total</w:t>
            </w:r>
          </w:p>
        </w:tc>
        <w:tc>
          <w:tcPr>
            <w:tcW w:w="1393" w:type="dxa"/>
          </w:tcPr>
          <w:p>
            <w:pPr>
              <w:keepNext/>
              <w:widowControl w:val="false"/>
              <w:spacing w:after="0" w:line="240" w:lineRule="auto"/>
              <w:jc w:val="center"/>
              <w:rPr>
                <w:b/>
                <w:szCs w:val="24"/>
              </w:rPr>
            </w:pPr>
            <w:r>
              <w:rPr>
                <w:b/>
              </w:rPr>
              <w:t>Women Business Enterprises</w:t>
            </w:r>
          </w:p>
        </w:tc>
        <w:tc>
          <w:tcPr>
            <w:tcW w:w="1393" w:type="dxa"/>
          </w:tcPr>
          <w:p>
            <w:pPr>
              <w:keepNext/>
              <w:widowControl w:val="false"/>
              <w:spacing w:after="0" w:line="240" w:lineRule="auto"/>
              <w:jc w:val="center"/>
              <w:rPr>
                <w:b/>
                <w:szCs w:val="24"/>
              </w:rPr>
            </w:pPr>
            <w:r>
              <w:rPr>
                <w:b/>
              </w:rPr>
              <w:t>Male</w:t>
            </w:r>
          </w:p>
        </w:tc>
      </w:tr>
    </w:tbl>
    <w:p>
      <w:pPr>
        <w:keepNext/>
        <w:widowControl w:val="false"/>
        <w:spacing w:after="0" w:line="240" w:lineRule="auto"/>
        <w:rPr>
          <w:b/>
          <w:vanish/>
          <w:sz w:val="24"/>
          <w:szCs w:val="24"/>
        </w:rPr>
      </w:pPr>
    </w:p>
    <w:tbl>
      <w:tblPr>
        <w:tblW w:w="2860"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firstRow="1" w:lastRow="1" w:firstColumn="1" w:lastColumn="1" w:noHBand="0" w:noVBand="0" w:val="01E0"/>
      </w:tblPr>
      <w:tblGrid>
        <w:gridCol w:w="1393"/>
        <w:gridCol w:w="1364"/>
        <w:gridCol w:w="1364"/>
        <w:gridCol w:w="1364"/>
      </w:tblGrid>
      <w:tr>
        <w:trPr>
          <w:cantSplit/>
        </w:trPr>
        <w:tc>
          <w:tcPr>
            <w:tcW w:w="5485" w:type="dxa"/>
            <w:gridSpan w:val="4"/>
          </w:tcPr>
          <w:p>
            <w:pPr>
              <w:keepNext/>
              <w:widowControl w:val="false"/>
              <w:spacing w:after="0" w:line="240" w:lineRule="auto"/>
              <w:rPr>
                <w:b/>
              </w:rPr>
            </w:pPr>
            <w:r>
              <w:rPr>
                <w:b/>
              </w:rPr>
              <w:t>Contracts</w:t>
            </w:r>
          </w:p>
        </w:tc>
      </w:tr>
      <w:tr>
        <w:trPr>
          <w:cantSplit/>
          <w:hidden/>
        </w:trPr>
        <w:tc>
          <w:tcPr>
            <w:tcW w:w="1393" w:type="dxa"/>
          </w:tcPr>
          <w:p>
            <w:pPr>
              <w:keepNext/>
              <w:widowControl w:val="false"/>
              <w:spacing w:after="0" w:line="240" w:lineRule="auto"/>
              <w:rPr>
                <w:b/>
                <w:vanish/>
              </w:rPr>
            </w:pPr>
          </w:p>
        </w:tc>
        <w:tc>
          <w:tcPr>
            <w:tcW w:w="1364" w:type="dxa"/>
          </w:tcPr>
          <w:p>
            <w:pPr>
              <w:keepNext/>
              <w:widowControl w:val="false"/>
              <w:spacing w:after="0" w:line="240" w:lineRule="auto"/>
              <w:rPr>
                <w:b/>
                <w:vanish/>
              </w:rPr>
            </w:pPr>
          </w:p>
        </w:tc>
        <w:tc>
          <w:tcPr>
            <w:tcW w:w="1364" w:type="dxa"/>
          </w:tcPr>
          <w:p>
            <w:pPr>
              <w:keepNext/>
              <w:widowControl w:val="false"/>
              <w:spacing w:after="0" w:line="240" w:lineRule="auto"/>
              <w:rPr>
                <w:b/>
                <w:vanish/>
              </w:rPr>
            </w:pPr>
          </w:p>
        </w:tc>
        <w:tc>
          <w:tcPr>
            <w:tcW w:w="1364" w:type="dxa"/>
          </w:tcPr>
          <w:p>
            <w:pPr>
              <w:keepNext/>
              <w:widowControl w:val="false"/>
              <w:spacing w:after="0" w:line="240" w:lineRule="auto"/>
              <w:rPr>
                <w:b/>
                <w:vanish/>
              </w:rPr>
            </w:pPr>
          </w:p>
        </w:tc>
      </w:tr>
      <w:tr>
        <w:trPr>
          <w:cantSplit w:val="true"/>
        </w:trPr>
        <w:tc>
          <w:tcPr>
            <w:vAlign w:val="top"/>
          </w:tcPr>
          <w:p>
            <w:pPr>
              <w:spacing w:beforeAutospacing="true" w:afterAutospacing="true"/>
              <w:jc w:val="left"/>
            </w:pPr>
            <w:r>
              <w:rPr>
                <w:rFonts w:ascii="Calibri" w:hAnsi="Calibri"/>
                <w:color w:val="000000"/>
                <w:sz w:val="22"/>
              </w:rPr>
              <w:t xml:space="preserve">Dollar Amount</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top"/>
          </w:tcPr>
          <w:p>
            <w:pPr>
              <w:spacing w:beforeAutospacing="true" w:afterAutospacing="true"/>
              <w:jc w:val="left"/>
            </w:pPr>
            <w:r>
              <w:rPr>
                <w:rFonts w:ascii="Calibri" w:hAnsi="Calibri"/>
                <w:color w:val="000000"/>
                <w:sz w:val="22"/>
              </w:rPr>
              <w:t xml:space="preserve">Number</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bl>
    <w:p>
      <w:pPr>
        <w:widowControl w:val="false"/>
        <w:spacing w:after="0" w:line="240" w:lineRule="auto"/>
        <w:rPr>
          <w:b/>
          <w:vanish/>
          <w:sz w:val="24"/>
          <w:szCs w:val="24"/>
        </w:rPr>
      </w:pPr>
    </w:p>
    <w:tbl>
      <w:tblPr>
        <w:tblW w:w="2860"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firstRow="1" w:lastRow="1" w:firstColumn="1" w:lastColumn="1" w:noHBand="0" w:noVBand="0" w:val="01E0"/>
      </w:tblPr>
      <w:tblGrid>
        <w:gridCol w:w="1393"/>
        <w:gridCol w:w="1364"/>
        <w:gridCol w:w="1364"/>
        <w:gridCol w:w="1364"/>
      </w:tblGrid>
      <w:tr>
        <w:trPr>
          <w:cantSplit/>
        </w:trPr>
        <w:tc>
          <w:tcPr>
            <w:tcW w:w="5485" w:type="dxa"/>
            <w:gridSpan w:val="4"/>
          </w:tcPr>
          <w:p>
            <w:pPr>
              <w:keepNext/>
              <w:widowControl w:val="false"/>
              <w:spacing w:after="0" w:line="240" w:lineRule="auto"/>
              <w:rPr>
                <w:b/>
              </w:rPr>
            </w:pPr>
            <w:r>
              <w:rPr>
                <w:b/>
              </w:rPr>
              <w:t>Sub-Contracts</w:t>
            </w:r>
          </w:p>
        </w:tc>
      </w:tr>
      <w:tr>
        <w:trPr>
          <w:cantSplit/>
          <w:hidden/>
        </w:trPr>
        <w:tc>
          <w:tcPr>
            <w:tcW w:w="1393" w:type="dxa"/>
          </w:tcPr>
          <w:p>
            <w:pPr>
              <w:keepNext/>
              <w:widowControl w:val="false"/>
              <w:spacing w:after="0" w:line="240" w:lineRule="auto"/>
              <w:rPr>
                <w:b/>
                <w:vanish/>
              </w:rPr>
            </w:pPr>
          </w:p>
        </w:tc>
        <w:tc>
          <w:tcPr>
            <w:tcW w:w="1364" w:type="dxa"/>
          </w:tcPr>
          <w:p>
            <w:pPr>
              <w:keepNext/>
              <w:widowControl w:val="false"/>
              <w:spacing w:after="0" w:line="240" w:lineRule="auto"/>
              <w:rPr>
                <w:b/>
                <w:vanish/>
              </w:rPr>
            </w:pPr>
          </w:p>
        </w:tc>
        <w:tc>
          <w:tcPr>
            <w:tcW w:w="1364" w:type="dxa"/>
          </w:tcPr>
          <w:p>
            <w:pPr>
              <w:keepNext/>
              <w:widowControl w:val="false"/>
              <w:spacing w:after="0" w:line="240" w:lineRule="auto"/>
              <w:rPr>
                <w:b/>
                <w:vanish/>
              </w:rPr>
            </w:pPr>
          </w:p>
        </w:tc>
        <w:tc>
          <w:tcPr>
            <w:tcW w:w="1364" w:type="dxa"/>
          </w:tcPr>
          <w:p>
            <w:pPr>
              <w:keepNext/>
              <w:widowControl w:val="false"/>
              <w:spacing w:after="0" w:line="240" w:lineRule="auto"/>
              <w:rPr>
                <w:b/>
                <w:vanish/>
              </w:rPr>
            </w:pPr>
          </w:p>
        </w:tc>
      </w:tr>
      <w:tr>
        <w:trPr>
          <w:cantSplit w:val="true"/>
        </w:trPr>
        <w:tc>
          <w:tcPr>
            <w:vAlign w:val="top"/>
          </w:tcPr>
          <w:p>
            <w:pPr>
              <w:spacing w:beforeAutospacing="true" w:afterAutospacing="true"/>
              <w:jc w:val="left"/>
            </w:pPr>
            <w:r>
              <w:rPr>
                <w:rFonts w:ascii="Calibri" w:hAnsi="Calibri"/>
                <w:color w:val="000000"/>
                <w:sz w:val="22"/>
              </w:rPr>
              <w:t xml:space="preserve">Number</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top"/>
          </w:tcPr>
          <w:p>
            <w:pPr>
              <w:spacing w:beforeAutospacing="true" w:afterAutospacing="true"/>
              <w:jc w:val="left"/>
            </w:pPr>
            <w:r>
              <w:rPr>
                <w:rFonts w:ascii="Calibri" w:hAnsi="Calibri"/>
                <w:color w:val="000000"/>
                <w:sz w:val="22"/>
              </w:rPr>
              <w:t xml:space="preserve">Dollar Amount</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bl>
    <w:p>
      <w:pPr>
        <w:pStyle w:val="Caption"/>
        <w:rPr>
          <w:rFonts w:asciiTheme="minorHAnsi" w:hAnsiTheme="minorHAnsi"/>
        </w:rPr>
      </w:pPr>
      <w:r>
        <w:rPr>
          <w:rFonts w:asciiTheme="minorHAnsi" w:hAnsiTheme="minorHAnsi"/>
        </w:rPr>
        <w:t xml:space="preserve">Table </w:t>
        <w:fldChar w:fldCharType="begin"/>
        <w:instrText xml:space="preserve"> SEQ Table \* ARABIC </w:instrText>
        <w:fldChar w:fldCharType="separate"/>
        <w:t>8</w:t>
        <w:fldChar w:fldCharType="end"/>
        <w:t xml:space="preserve"> - Minority Business and Women Business Enterprises</w:t>
      </w:r>
    </w:p>
    <w:p>
      <w:pPr>
        <w:widowControl w:val="false"/>
        <w:spacing w:after="0" w:line="240" w:lineRule="auto"/>
        <w:rPr>
          <w:b/>
          <w:sz w:val="24"/>
          <w:szCs w:val="24"/>
        </w:rPr>
      </w:pPr>
    </w:p>
    <w:tbl>
      <w:tblPr>
        <w:tblW w:w="5000"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9576"/>
      </w:tblGrid>
      <w:tr>
        <w:tc>
          <w:tcPr>
            <w:tcW w:w="9576" w:type="dxa"/>
          </w:tcPr>
          <w:p>
            <w:pPr>
              <w:keepNext/>
              <w:widowControl w:val="false"/>
              <w:spacing w:after="0" w:line="240" w:lineRule="auto"/>
              <w:rPr>
                <w:b/>
                <w:szCs w:val="24"/>
              </w:rPr>
            </w:pPr>
            <w:r>
              <w:rPr>
                <w:b/>
              </w:rPr>
              <w:t xml:space="preserve">Minority Owners of Rental Property </w:t>
            </w:r>
            <w:r>
              <w:t>– Indicate the number of HOME assisted rental property owners and the total amount of HOME funds in these rental properties assisted</w:t>
            </w:r>
          </w:p>
        </w:tc>
      </w:tr>
    </w:tbl>
    <w:p>
      <w:pPr>
        <w:keepNext/>
        <w:widowControl w:val="false"/>
        <w:spacing w:after="0" w:line="240" w:lineRule="auto"/>
        <w:rPr>
          <w:b/>
          <w:vanish/>
          <w:sz w:val="24"/>
          <w:szCs w:val="24"/>
        </w:rPr>
      </w:pPr>
    </w:p>
    <w:tbl>
      <w:tblPr>
        <w:tblW w:w="5000"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firstRow="1" w:lastRow="1" w:firstColumn="1" w:lastColumn="1" w:noHBand="0" w:noVBand="0" w:val="01E0"/>
      </w:tblPr>
      <w:tblGrid>
        <w:gridCol w:w="1411"/>
        <w:gridCol w:w="810"/>
        <w:gridCol w:w="1525"/>
        <w:gridCol w:w="1434"/>
        <w:gridCol w:w="1470"/>
        <w:gridCol w:w="1470"/>
        <w:gridCol w:w="1470"/>
      </w:tblGrid>
      <w:tr>
        <w:tc>
          <w:tcPr>
            <w:tcW w:w="1408" w:type="dxa"/>
            <w:vMerge w:val="restart"/>
          </w:tcPr>
          <w:p>
            <w:pPr>
              <w:keepNext/>
              <w:widowControl w:val="false"/>
              <w:spacing w:after="0" w:line="240" w:lineRule="auto"/>
              <w:jc w:val="center"/>
              <w:rPr>
                <w:b/>
              </w:rPr>
            </w:pPr>
          </w:p>
        </w:tc>
        <w:tc>
          <w:tcPr>
            <w:tcW w:w="809" w:type="dxa"/>
            <w:vMerge w:val="restart"/>
          </w:tcPr>
          <w:p>
            <w:pPr>
              <w:keepNext/>
              <w:widowControl w:val="false"/>
              <w:spacing w:after="0" w:line="240" w:lineRule="auto"/>
              <w:jc w:val="center"/>
              <w:rPr>
                <w:b/>
              </w:rPr>
            </w:pPr>
            <w:r>
              <w:rPr>
                <w:b/>
              </w:rPr>
              <w:t>Total</w:t>
            </w:r>
          </w:p>
        </w:tc>
        <w:tc>
          <w:tcPr>
            <w:tcW w:w="5891" w:type="dxa"/>
            <w:gridSpan w:val="4"/>
          </w:tcPr>
          <w:p>
            <w:pPr>
              <w:keepNext/>
              <w:widowControl w:val="false"/>
              <w:spacing w:after="0" w:line="240" w:lineRule="auto"/>
              <w:jc w:val="center"/>
              <w:rPr>
                <w:b/>
              </w:rPr>
            </w:pPr>
            <w:r>
              <w:rPr>
                <w:b/>
              </w:rPr>
              <w:t>Minority Property Owners</w:t>
            </w:r>
          </w:p>
        </w:tc>
        <w:tc>
          <w:tcPr>
            <w:tcW w:w="1468" w:type="dxa"/>
            <w:vMerge w:val="restart"/>
          </w:tcPr>
          <w:p>
            <w:pPr>
              <w:keepNext/>
              <w:widowControl w:val="false"/>
              <w:spacing w:after="0" w:line="240" w:lineRule="auto"/>
              <w:jc w:val="center"/>
              <w:rPr>
                <w:b/>
              </w:rPr>
            </w:pPr>
            <w:r>
              <w:rPr>
                <w:b/>
              </w:rPr>
              <w:t>White Non-Hispanic</w:t>
            </w:r>
          </w:p>
        </w:tc>
      </w:tr>
      <w:tr>
        <w:tc>
          <w:tcPr>
            <w:tcW w:w="1408" w:type="dxa"/>
            <w:vMerge/>
          </w:tcPr>
          <w:p>
            <w:pPr>
              <w:keepNext/>
              <w:widowControl w:val="false"/>
              <w:spacing w:after="0" w:line="240" w:lineRule="auto"/>
              <w:jc w:val="center"/>
              <w:rPr>
                <w:b/>
              </w:rPr>
            </w:pPr>
          </w:p>
        </w:tc>
        <w:tc>
          <w:tcPr>
            <w:tcW w:w="809" w:type="dxa"/>
            <w:vMerge/>
          </w:tcPr>
          <w:p>
            <w:pPr>
              <w:keepNext/>
              <w:widowControl w:val="false"/>
              <w:spacing w:after="0" w:line="240" w:lineRule="auto"/>
              <w:jc w:val="center"/>
              <w:rPr>
                <w:b/>
              </w:rPr>
            </w:pPr>
          </w:p>
        </w:tc>
        <w:tc>
          <w:tcPr>
            <w:tcW w:w="1523" w:type="dxa"/>
          </w:tcPr>
          <w:p>
            <w:pPr>
              <w:keepNext/>
              <w:widowControl w:val="false"/>
              <w:jc w:val="center"/>
              <w:rPr>
                <w:b/>
              </w:rPr>
            </w:pPr>
            <w:r>
              <w:rPr>
                <w:b/>
              </w:rPr>
              <w:t>Alaskan Native or American Indian</w:t>
            </w:r>
          </w:p>
        </w:tc>
        <w:tc>
          <w:tcPr>
            <w:tcW w:w="1432" w:type="dxa"/>
          </w:tcPr>
          <w:p>
            <w:pPr>
              <w:keepNext/>
              <w:widowControl w:val="false"/>
              <w:ind w:right="-28"/>
              <w:jc w:val="center"/>
              <w:rPr>
                <w:b/>
              </w:rPr>
            </w:pPr>
            <w:r>
              <w:rPr>
                <w:b/>
              </w:rPr>
              <w:t>Asian or Pacific Islander</w:t>
            </w:r>
          </w:p>
        </w:tc>
        <w:tc>
          <w:tcPr>
            <w:tcW w:w="1468" w:type="dxa"/>
          </w:tcPr>
          <w:p>
            <w:pPr>
              <w:keepNext/>
              <w:widowControl w:val="false"/>
              <w:jc w:val="center"/>
              <w:rPr>
                <w:b/>
              </w:rPr>
            </w:pPr>
            <w:r>
              <w:rPr>
                <w:b/>
              </w:rPr>
              <w:t>Black Non-Hispanic</w:t>
            </w:r>
          </w:p>
        </w:tc>
        <w:tc>
          <w:tcPr>
            <w:tcW w:w="1468" w:type="dxa"/>
          </w:tcPr>
          <w:p>
            <w:pPr>
              <w:keepNext/>
              <w:widowControl w:val="false"/>
              <w:jc w:val="center"/>
              <w:rPr>
                <w:b/>
              </w:rPr>
            </w:pPr>
            <w:r>
              <w:rPr>
                <w:b/>
              </w:rPr>
              <w:t>Hispanic</w:t>
            </w:r>
          </w:p>
        </w:tc>
        <w:tc>
          <w:tcPr>
            <w:tcW w:w="1468" w:type="dxa"/>
            <w:vMerge/>
          </w:tcPr>
          <w:p>
            <w:pPr>
              <w:keepNext/>
              <w:widowControl w:val="false"/>
              <w:spacing w:after="0" w:line="240" w:lineRule="auto"/>
              <w:jc w:val="center"/>
              <w:rPr>
                <w:b/>
              </w:rPr>
            </w:pPr>
          </w:p>
        </w:tc>
      </w:tr>
      <w:tr>
        <w:trPr>
          <w:cantSplit w:val="true"/>
        </w:trPr>
        <w:tc>
          <w:tcPr>
            <w:vAlign w:val="top"/>
          </w:tcPr>
          <w:p>
            <w:pPr>
              <w:spacing w:beforeAutospacing="true" w:afterAutospacing="true"/>
              <w:jc w:val="left"/>
            </w:pPr>
            <w:r>
              <w:rPr>
                <w:rFonts w:ascii="Calibri" w:hAnsi="Calibri"/>
                <w:color w:val="000000"/>
                <w:sz w:val="22"/>
              </w:rPr>
              <w:t xml:space="preserve">Number</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top"/>
          </w:tcPr>
          <w:p>
            <w:pPr>
              <w:spacing w:beforeAutospacing="true" w:afterAutospacing="true"/>
              <w:jc w:val="left"/>
            </w:pPr>
            <w:r>
              <w:rPr>
                <w:rFonts w:ascii="Calibri" w:hAnsi="Calibri"/>
                <w:color w:val="000000"/>
                <w:sz w:val="22"/>
              </w:rPr>
              <w:t xml:space="preserve">Dollar Amount</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bl>
    <w:p>
      <w:pPr>
        <w:pStyle w:val="Caption"/>
        <w:jc w:val="center"/>
        <w:rPr>
          <w:rFonts w:asciiTheme="minorHAnsi" w:hAnsiTheme="minorHAnsi"/>
        </w:rPr>
      </w:pPr>
      <w:r>
        <w:rPr>
          <w:rFonts w:asciiTheme="minorHAnsi" w:hAnsiTheme="minorHAnsi"/>
        </w:rPr>
        <w:t xml:space="preserve">Table </w:t>
        <w:fldChar w:fldCharType="begin"/>
        <w:instrText xml:space="preserve"> SEQ Table \* ARABIC </w:instrText>
        <w:fldChar w:fldCharType="separate"/>
        <w:t>9</w:t>
        <w:fldChar w:fldCharType="end"/>
        <w:t xml:space="preserve"> – Minority Owners of Rental Property</w:t>
      </w:r>
    </w:p>
    <w:p>
      <w:pPr>
        <w:widowControl w:val="false"/>
        <w:spacing w:line="204" w:lineRule="auto"/>
        <w:rPr>
          <w:b/>
          <w:sz w:val="24"/>
          <w:szCs w:val="24"/>
        </w:rPr>
      </w:pPr>
    </w:p>
    <w:tbl>
      <w:tblPr>
        <w:tblW w:w="5000"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9576"/>
      </w:tblGrid>
      <w:tr>
        <w:tc>
          <w:tcPr>
            <w:tcW w:w="13176" w:type="dxa"/>
          </w:tcPr>
          <w:p>
            <w:pPr>
              <w:keepNext/>
              <w:widowControl w:val="false"/>
              <w:spacing w:after="0" w:line="240" w:lineRule="auto"/>
              <w:rPr>
                <w:b/>
              </w:rPr>
            </w:pPr>
            <w:r>
              <w:rPr>
                <w:b/>
              </w:rPr>
              <w:t xml:space="preserve">Relocation and Real Property Acquisition – </w:t>
            </w:r>
            <w:r>
              <w:t>Indicate the number of persons displaced, the cost of relocation payments, the number of parcels acquired, and the cost of acquisition</w:t>
            </w:r>
          </w:p>
        </w:tc>
      </w:tr>
    </w:tbl>
    <w:p>
      <w:pPr>
        <w:keepNext/>
        <w:widowControl w:val="false"/>
        <w:spacing w:after="0" w:line="240" w:lineRule="auto"/>
        <w:rPr>
          <w:b/>
          <w:vanish/>
          <w:sz w:val="24"/>
          <w:szCs w:val="24"/>
        </w:rPr>
      </w:pPr>
    </w:p>
    <w:tbl>
      <w:tblPr>
        <w:tblW w:w="3423"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firstRow="1" w:lastRow="1" w:firstColumn="1" w:lastColumn="1" w:noHBand="0" w:noVBand="0" w:val="01E0"/>
      </w:tblPr>
      <w:tblGrid>
        <w:gridCol w:w="3163"/>
        <w:gridCol w:w="1701"/>
        <w:gridCol w:w="1701"/>
      </w:tblGrid>
      <w:tr>
        <w:trPr>
          <w:cantSplit/>
          <w:hidden/>
        </w:trPr>
        <w:tc>
          <w:tcPr>
            <w:tcW w:w="4392" w:type="dxa"/>
          </w:tcPr>
          <w:p>
            <w:pPr>
              <w:keepNext/>
              <w:widowControl w:val="false"/>
              <w:spacing w:after="0" w:line="240" w:lineRule="auto"/>
              <w:rPr>
                <w:b/>
                <w:vanish/>
              </w:rPr>
            </w:pPr>
          </w:p>
        </w:tc>
        <w:tc>
          <w:tcPr>
            <w:tcW w:w="2314" w:type="dxa"/>
          </w:tcPr>
          <w:p>
            <w:pPr>
              <w:keepNext/>
              <w:widowControl w:val="false"/>
              <w:spacing w:after="0" w:line="240" w:lineRule="auto"/>
              <w:jc w:val="center"/>
              <w:rPr>
                <w:b/>
                <w:vanish/>
              </w:rPr>
            </w:pPr>
            <w:r>
              <w:rPr>
                <w:b/>
                <w:vanish/>
              </w:rPr>
              <w:t>Number</w:t>
            </w:r>
          </w:p>
        </w:tc>
        <w:tc>
          <w:tcPr>
            <w:tcW w:w="2314" w:type="dxa"/>
          </w:tcPr>
          <w:p>
            <w:pPr>
              <w:keepNext/>
              <w:widowControl w:val="false"/>
              <w:spacing w:after="0" w:line="240" w:lineRule="auto"/>
              <w:jc w:val="center"/>
              <w:rPr>
                <w:b/>
                <w:vanish/>
              </w:rPr>
            </w:pPr>
            <w:r>
              <w:rPr>
                <w:b/>
                <w:vanish/>
              </w:rPr>
              <w:t>Cost</w:t>
            </w:r>
          </w:p>
        </w:tc>
      </w:tr>
      <w:tr>
        <w:trPr>
          <w:cantSplit w:val="true"/>
        </w:trPr>
        <w:tc>
          <w:tcPr>
            <w:vAlign w:val="top"/>
          </w:tcPr>
          <w:p>
            <w:pPr>
              <w:spacing w:beforeAutospacing="true" w:afterAutospacing="true"/>
              <w:jc w:val="left"/>
            </w:pPr>
            <w:r>
              <w:rPr>
                <w:rFonts w:ascii="Calibri" w:hAnsi="Calibri"/>
                <w:color w:val="000000"/>
                <w:sz w:val="22"/>
              </w:rPr>
              <w:t xml:space="preserve">Parcels Acquired</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top"/>
          </w:tcPr>
          <w:p>
            <w:pPr>
              <w:spacing w:beforeAutospacing="true" w:afterAutospacing="true"/>
              <w:jc w:val="left"/>
            </w:pPr>
            <w:r>
              <w:rPr>
                <w:rFonts w:ascii="Calibri" w:hAnsi="Calibri"/>
                <w:color w:val="000000"/>
                <w:sz w:val="22"/>
              </w:rPr>
              <w:t xml:space="preserve">Businesses Displaced</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top"/>
          </w:tcPr>
          <w:p>
            <w:pPr>
              <w:spacing w:beforeAutospacing="true" w:afterAutospacing="true"/>
              <w:jc w:val="left"/>
            </w:pPr>
            <w:r>
              <w:rPr>
                <w:rFonts w:ascii="Calibri" w:hAnsi="Calibri"/>
                <w:color w:val="000000"/>
                <w:sz w:val="22"/>
              </w:rPr>
              <w:t xml:space="preserve">Nonprofit Organizations Displaced</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top"/>
          </w:tcPr>
          <w:p>
            <w:pPr>
              <w:spacing w:beforeAutospacing="true" w:afterAutospacing="true"/>
              <w:jc w:val="left"/>
            </w:pPr>
            <w:r>
              <w:rPr>
                <w:rFonts w:ascii="Calibri" w:hAnsi="Calibri"/>
                <w:color w:val="000000"/>
                <w:sz w:val="22"/>
              </w:rPr>
              <w:t xml:space="preserve">Households Temporarily Relocated, not Displaced</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bl>
    <w:p>
      <w:pPr>
        <w:widowControl w:val="false"/>
        <w:spacing w:after="0" w:line="240" w:lineRule="auto"/>
        <w:rPr>
          <w:b/>
          <w:vanish/>
          <w:sz w:val="24"/>
          <w:szCs w:val="24"/>
        </w:rPr>
      </w:pPr>
    </w:p>
    <w:tbl>
      <w:tblPr>
        <w:tblW w:w="5000"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firstRow="1" w:lastRow="1" w:firstColumn="1" w:lastColumn="1" w:noHBand="0" w:noVBand="0" w:val="01E0"/>
      </w:tblPr>
      <w:tblGrid>
        <w:gridCol w:w="1575"/>
        <w:gridCol w:w="801"/>
        <w:gridCol w:w="1497"/>
        <w:gridCol w:w="1401"/>
        <w:gridCol w:w="1439"/>
        <w:gridCol w:w="1438"/>
        <w:gridCol w:w="1439"/>
      </w:tblGrid>
      <w:tr>
        <w:trPr>
          <w:cantSplit/>
        </w:trPr>
        <w:tc>
          <w:tcPr>
            <w:tcW w:w="1572" w:type="dxa"/>
            <w:vMerge w:val="restart"/>
          </w:tcPr>
          <w:p>
            <w:pPr>
              <w:keepNext/>
              <w:widowControl w:val="false"/>
              <w:spacing w:after="0" w:line="240" w:lineRule="auto"/>
              <w:jc w:val="center"/>
              <w:rPr>
                <w:b/>
              </w:rPr>
            </w:pPr>
            <w:r>
              <w:rPr>
                <w:b/>
              </w:rPr>
              <w:t>Households Displaced</w:t>
            </w:r>
          </w:p>
        </w:tc>
        <w:tc>
          <w:tcPr>
            <w:tcW w:w="800" w:type="dxa"/>
            <w:vMerge w:val="restart"/>
          </w:tcPr>
          <w:p>
            <w:pPr>
              <w:keepNext/>
              <w:widowControl w:val="false"/>
              <w:spacing w:after="0" w:line="240" w:lineRule="auto"/>
              <w:jc w:val="center"/>
              <w:rPr>
                <w:b/>
              </w:rPr>
            </w:pPr>
            <w:r>
              <w:rPr>
                <w:b/>
              </w:rPr>
              <w:t>Total</w:t>
            </w:r>
          </w:p>
        </w:tc>
        <w:tc>
          <w:tcPr>
            <w:tcW w:w="5767" w:type="dxa"/>
            <w:gridSpan w:val="4"/>
          </w:tcPr>
          <w:p>
            <w:pPr>
              <w:keepNext/>
              <w:widowControl w:val="false"/>
              <w:spacing w:after="0" w:line="240" w:lineRule="auto"/>
              <w:jc w:val="center"/>
              <w:rPr>
                <w:b/>
              </w:rPr>
            </w:pPr>
            <w:r>
              <w:rPr>
                <w:b/>
              </w:rPr>
              <w:t>Minority Property Enterprises</w:t>
            </w:r>
          </w:p>
        </w:tc>
        <w:tc>
          <w:tcPr>
            <w:tcW w:w="1437" w:type="dxa"/>
            <w:vMerge w:val="restart"/>
          </w:tcPr>
          <w:p>
            <w:pPr>
              <w:keepNext/>
              <w:widowControl w:val="false"/>
              <w:spacing w:after="0" w:line="240" w:lineRule="auto"/>
              <w:jc w:val="center"/>
              <w:rPr>
                <w:b/>
              </w:rPr>
            </w:pPr>
            <w:r>
              <w:rPr>
                <w:b/>
              </w:rPr>
              <w:t>White Non-Hispanic</w:t>
            </w:r>
          </w:p>
        </w:tc>
      </w:tr>
      <w:tr>
        <w:trPr>
          <w:cantSplit/>
        </w:trPr>
        <w:tc>
          <w:tcPr>
            <w:tcW w:w="1572" w:type="dxa"/>
            <w:vMerge/>
          </w:tcPr>
          <w:p>
            <w:pPr>
              <w:keepNext/>
              <w:widowControl w:val="false"/>
              <w:spacing w:after="0" w:line="240" w:lineRule="auto"/>
              <w:jc w:val="center"/>
              <w:rPr>
                <w:b/>
              </w:rPr>
            </w:pPr>
          </w:p>
        </w:tc>
        <w:tc>
          <w:tcPr>
            <w:tcW w:w="800" w:type="dxa"/>
            <w:vMerge/>
          </w:tcPr>
          <w:p>
            <w:pPr>
              <w:keepNext/>
              <w:widowControl w:val="false"/>
              <w:spacing w:after="0" w:line="240" w:lineRule="auto"/>
              <w:jc w:val="center"/>
              <w:rPr>
                <w:b/>
              </w:rPr>
            </w:pPr>
          </w:p>
        </w:tc>
        <w:tc>
          <w:tcPr>
            <w:tcW w:w="1495" w:type="dxa"/>
          </w:tcPr>
          <w:p>
            <w:pPr>
              <w:keepNext/>
              <w:widowControl w:val="false"/>
              <w:jc w:val="center"/>
              <w:rPr>
                <w:b/>
              </w:rPr>
            </w:pPr>
            <w:r>
              <w:rPr>
                <w:b/>
              </w:rPr>
              <w:t>Alaskan Native or American Indian</w:t>
            </w:r>
          </w:p>
        </w:tc>
        <w:tc>
          <w:tcPr>
            <w:tcW w:w="1399" w:type="dxa"/>
          </w:tcPr>
          <w:p>
            <w:pPr>
              <w:keepNext/>
              <w:widowControl w:val="false"/>
              <w:ind w:right="-28"/>
              <w:jc w:val="center"/>
              <w:rPr>
                <w:b/>
              </w:rPr>
            </w:pPr>
            <w:r>
              <w:rPr>
                <w:b/>
              </w:rPr>
              <w:t>Asian or Pacific Islander</w:t>
            </w:r>
          </w:p>
        </w:tc>
        <w:tc>
          <w:tcPr>
            <w:tcW w:w="1437" w:type="dxa"/>
          </w:tcPr>
          <w:p>
            <w:pPr>
              <w:keepNext/>
              <w:widowControl w:val="false"/>
              <w:jc w:val="center"/>
              <w:rPr>
                <w:b/>
              </w:rPr>
            </w:pPr>
            <w:r>
              <w:rPr>
                <w:b/>
              </w:rPr>
              <w:t>Black Non-Hispanic</w:t>
            </w:r>
          </w:p>
        </w:tc>
        <w:tc>
          <w:tcPr>
            <w:tcW w:w="1436" w:type="dxa"/>
          </w:tcPr>
          <w:p>
            <w:pPr>
              <w:keepNext/>
              <w:widowControl w:val="false"/>
              <w:jc w:val="center"/>
              <w:rPr>
                <w:b/>
              </w:rPr>
            </w:pPr>
            <w:r>
              <w:rPr>
                <w:b/>
              </w:rPr>
              <w:t>Hispanic</w:t>
            </w:r>
          </w:p>
        </w:tc>
        <w:tc>
          <w:tcPr>
            <w:tcW w:w="1437" w:type="dxa"/>
            <w:vMerge/>
          </w:tcPr>
          <w:p>
            <w:pPr>
              <w:keepNext/>
              <w:widowControl w:val="false"/>
              <w:spacing w:after="0" w:line="240" w:lineRule="auto"/>
              <w:jc w:val="center"/>
              <w:rPr>
                <w:b/>
              </w:rPr>
            </w:pPr>
          </w:p>
        </w:tc>
      </w:tr>
      <w:tr>
        <w:trPr>
          <w:cantSplit w:val="true"/>
        </w:trPr>
        <w:tc>
          <w:tcPr>
            <w:vAlign w:val="top"/>
          </w:tcPr>
          <w:p>
            <w:pPr>
              <w:spacing w:beforeAutospacing="true" w:afterAutospacing="true"/>
              <w:jc w:val="left"/>
            </w:pPr>
            <w:r>
              <w:rPr>
                <w:rFonts w:ascii="Calibri" w:hAnsi="Calibri"/>
                <w:color w:val="000000"/>
                <w:sz w:val="22"/>
              </w:rPr>
              <w:t xml:space="preserve">Number</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top"/>
          </w:tcPr>
          <w:p>
            <w:pPr>
              <w:spacing w:beforeAutospacing="true" w:afterAutospacing="true"/>
              <w:jc w:val="left"/>
            </w:pPr>
            <w:r>
              <w:rPr>
                <w:rFonts w:ascii="Calibri" w:hAnsi="Calibri"/>
                <w:color w:val="000000"/>
                <w:sz w:val="22"/>
              </w:rPr>
              <w:t xml:space="preserve">Cost</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bl>
    <w:p>
      <w:pPr>
        <w:pStyle w:val="Caption"/>
        <w:jc w:val="center"/>
        <w:rPr>
          <w:rFonts w:asciiTheme="minorHAnsi" w:hAnsiTheme="minorHAnsi"/>
        </w:rPr>
      </w:pPr>
      <w:r>
        <w:rPr>
          <w:rFonts w:asciiTheme="minorHAnsi" w:hAnsiTheme="minorHAnsi"/>
        </w:rPr>
        <w:t xml:space="preserve">Table </w:t>
        <w:fldChar w:fldCharType="begin"/>
        <w:instrText xml:space="preserve"> SEQ Table \* ARABIC </w:instrText>
        <w:fldChar w:fldCharType="separate"/>
        <w:t>10</w:t>
        <w:fldChar w:fldCharType="end"/>
        <w:t xml:space="preserve"> – Relocation and Real Property Acquisition</w:t>
      </w:r>
    </w:p>
    <w:p>
      <w:pPr>
        <w:spacing w:after="0" w:line="240" w:lineRule="auto"/>
        <w:rPr>
          <w:b/>
        </w:rPr>
      </w:pPr>
    </w:p>
    <w:p>
      <w:pPr>
        <w:spacing w:after="0" w:line="240" w:lineRule="auto"/>
        <w:rPr>
          <w:b/>
        </w:rPr>
      </w:pPr>
    </w:p>
    <w:p>
      <w:pPr>
        <w:widowControl w:val="false"/>
        <w:spacing w:after="0" w:line="240" w:lineRule="auto"/>
        <w:rPr>
          <w:sz w:val="24"/>
          <w:szCs w:val="24"/>
        </w:rPr>
      </w:pPr>
    </w:p>
    <w:p>
      <w:pPr>
        <w:spacing w:after="0" w:line="240" w:lineRule="auto"/>
      </w:pPr>
      <w:bookmarkStart w:name="_Toc309810475" w:id="2"/>
    </w:p>
    <w:p>
      <w:pPr>
        <w:sectPr>
          <w:pgSz w:w="12240" w:h="15840" w:code="1"/>
          <w:pgMar w:top="1440" w:right="1440" w:bottom="1440" w:left="1440" w:header="720" w:footer="720" w:gutter="0"/>
          <w:cols w:space="720"/>
          <w:docGrid w:linePitch="360"/>
        </w:sectPr>
      </w:pPr>
    </w:p>
    <w:p>
      <w:pPr>
        <w:pStyle w:val="Heading2"/>
        <w:rPr>
          <w:rFonts w:ascii="Calibri" w:hAnsi="Calibri"/>
          <w:i w:val="false"/>
        </w:rPr>
      </w:pPr>
      <w:r>
        <w:rPr>
          <w:rFonts w:ascii="Calibri" w:hAnsi="Calibri"/>
          <w:i w:val="false"/>
        </w:rPr>
        <w:t>CR-20 - Affordable Housing 91.520(b)</w:t>
      </w:r>
    </w:p>
    <w:p>
      <w:pPr>
        <w:keepNext/>
        <w:widowControl w:val="false"/>
        <w:spacing w:after="0" w:line="240" w:lineRule="auto"/>
        <w:rPr>
          <w:b/>
          <w:sz w:val="24"/>
          <w:szCs w:val="24"/>
        </w:rPr>
      </w:pPr>
      <w:r>
        <w:rPr>
          <w:b/>
          <w:sz w:val="24"/>
          <w:szCs w:val="24"/>
        </w:rPr>
        <w:t>Evaluation of the jurisdiction's progress in providing affordable housing, including the number and types of families served, the number of extremely low-income, low-income, moderate-income, and middle-income persons served.</w:t>
      </w:r>
    </w:p>
    <w:p>
      <w:pPr>
        <w:keepNext/>
        <w:widowControl w:val="false"/>
        <w:spacing w:after="0" w:line="240" w:lineRule="auto"/>
        <w:rPr>
          <w:sz w:val="24"/>
          <w:szCs w:val="24"/>
        </w:rPr>
      </w:pPr>
    </w:p>
    <w:tbl>
      <w:tblPr>
        <w:tblW w:w="5000"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firstRow="1" w:lastRow="1" w:firstColumn="1" w:lastColumn="1" w:noHBand="0" w:noVBand="0" w:val="01E0"/>
      </w:tblPr>
      <w:tblGrid>
        <w:gridCol w:w="4293"/>
        <w:gridCol w:w="2648"/>
        <w:gridCol w:w="2649"/>
      </w:tblGrid>
      <w:tr>
        <w:trPr>
          <w:cantSplit/>
          <w:tblHeader/>
        </w:trPr>
        <w:tc>
          <w:tcPr>
            <w:tcW w:w="4293" w:type="dxa"/>
          </w:tcPr>
          <w:p>
            <w:pPr>
              <w:pStyle w:val="Caption"/>
              <w:keepNext/>
              <w:widowControl w:val="false"/>
              <w:jc w:val="center"/>
              <w:rPr>
                <w:rFonts w:ascii="Calibri" w:hAnsi="Calibri"/>
                <w:sz w:val="22"/>
                <w:szCs w:val="22"/>
              </w:rPr>
            </w:pPr>
          </w:p>
        </w:tc>
        <w:tc>
          <w:tcPr>
            <w:tcW w:w="2648" w:type="dxa"/>
          </w:tcPr>
          <w:p>
            <w:pPr>
              <w:pStyle w:val="Caption"/>
              <w:keepNext/>
              <w:widowControl w:val="false"/>
              <w:jc w:val="center"/>
              <w:rPr>
                <w:rFonts w:ascii="Calibri" w:hAnsi="Calibri"/>
                <w:sz w:val="22"/>
                <w:szCs w:val="22"/>
              </w:rPr>
            </w:pPr>
            <w:r>
              <w:rPr>
                <w:rFonts w:ascii="Calibri" w:hAnsi="Calibri"/>
                <w:sz w:val="22"/>
                <w:szCs w:val="22"/>
              </w:rPr>
              <w:t>One-Year Goal</w:t>
            </w:r>
          </w:p>
        </w:tc>
        <w:tc>
          <w:tcPr>
            <w:tcW w:w="2649" w:type="dxa"/>
          </w:tcPr>
          <w:p>
            <w:pPr>
              <w:pStyle w:val="Caption"/>
              <w:keepNext/>
              <w:widowControl w:val="false"/>
              <w:jc w:val="center"/>
              <w:rPr>
                <w:rFonts w:ascii="Calibri" w:hAnsi="Calibri"/>
                <w:sz w:val="22"/>
                <w:szCs w:val="22"/>
              </w:rPr>
            </w:pPr>
            <w:r>
              <w:rPr>
                <w:rFonts w:ascii="Calibri" w:hAnsi="Calibri"/>
                <w:sz w:val="22"/>
                <w:szCs w:val="22"/>
              </w:rPr>
              <w:t>Actual</w:t>
            </w:r>
          </w:p>
        </w:tc>
      </w:tr>
      <w:tr>
        <w:trPr>
          <w:cantSplit w:val="true"/>
        </w:trPr>
        <w:tc>
          <w:tcPr>
            <w:vAlign w:val="bottom"/>
          </w:tcPr>
          <w:p>
            <w:pPr>
              <w:spacing w:beforeAutospacing="true" w:afterAutospacing="true"/>
              <w:jc w:val="left"/>
            </w:pPr>
            <w:r>
              <w:rPr>
                <w:rFonts w:ascii="Calibri" w:hAnsi="Calibri"/>
                <w:color w:val="000000"/>
                <w:sz w:val="22"/>
              </w:rPr>
              <w:t xml:space="preserve">Number of Homeless households to be provided affordable housing units</w:t>
            </w:r>
          </w:p>
        </w:tc>
        <w:tc>
          <w:tcPr>
            <w:vAlign w:val="bottom"/>
          </w:tcPr>
          <w:p>
            <w:pPr>
              <w:spacing w:beforeAutospacing="true" w:afterAutospacing="true"/>
              <w:jc w:val="right"/>
            </w:pPr>
            <w:r>
              <w:rPr>
                <w:rFonts w:ascii="Calibri" w:hAnsi="Calibri"/>
                <w:color w:val="000000"/>
                <w:sz w:val="22"/>
              </w:rPr>
              <w:t xml:space="preserve">6,000</w:t>
            </w:r>
          </w:p>
        </w:tc>
        <w:tc>
          <w:tcPr>
            <w:vAlign w:val="bottom"/>
          </w:tcPr>
          <w:p>
            <w:pPr>
              <w:spacing w:beforeAutospacing="true" w:afterAutospacing="true"/>
              <w:jc w:val="right"/>
            </w:pPr>
            <w:r>
              <w:rPr>
                <w:rFonts w:ascii="Calibri" w:hAnsi="Calibri"/>
                <w:color w:val="000000"/>
                <w:sz w:val="22"/>
              </w:rPr>
              <w:t xml:space="preserve">3,274</w:t>
            </w:r>
          </w:p>
        </w:tc>
      </w:tr>
      <w:tr>
        <w:trPr>
          <w:cantSplit w:val="true"/>
        </w:trPr>
        <w:tc>
          <w:tcPr>
            <w:vAlign w:val="bottom"/>
          </w:tcPr>
          <w:p>
            <w:pPr>
              <w:spacing w:beforeAutospacing="true" w:afterAutospacing="true"/>
              <w:jc w:val="left"/>
            </w:pPr>
            <w:r>
              <w:rPr>
                <w:rFonts w:ascii="Calibri" w:hAnsi="Calibri"/>
                <w:color w:val="000000"/>
                <w:sz w:val="22"/>
              </w:rPr>
              <w:t xml:space="preserve">Number of Non-Homeless households to be provided affordable housing units</w:t>
            </w:r>
          </w:p>
        </w:tc>
        <w:tc>
          <w:tcPr>
            <w:vAlign w:val="bottom"/>
          </w:tcPr>
          <w:p>
            <w:pPr>
              <w:spacing w:beforeAutospacing="true" w:afterAutospacing="true"/>
              <w:jc w:val="right"/>
            </w:pPr>
            <w:r>
              <w:rPr>
                <w:rFonts w:ascii="Calibri" w:hAnsi="Calibri"/>
                <w:color w:val="000000"/>
                <w:sz w:val="22"/>
              </w:rPr>
              <w:t xml:space="preserve">900</w:t>
            </w:r>
          </w:p>
        </w:tc>
        <w:tc>
          <w:tcPr>
            <w:vAlign w:val="bottom"/>
          </w:tcPr>
          <w:p>
            <w:pPr>
              <w:spacing w:beforeAutospacing="true" w:afterAutospacing="true"/>
              <w:jc w:val="right"/>
            </w:pPr>
            <w:r>
              <w:rPr>
                <w:rFonts w:ascii="Calibri" w:hAnsi="Calibri"/>
                <w:color w:val="000000"/>
                <w:sz w:val="22"/>
              </w:rPr>
              <w:t xml:space="preserve">112</w:t>
            </w:r>
          </w:p>
        </w:tc>
      </w:tr>
      <w:tr>
        <w:trPr>
          <w:cantSplit w:val="true"/>
        </w:trPr>
        <w:tc>
          <w:tcPr>
            <w:vAlign w:val="bottom"/>
          </w:tcPr>
          <w:p>
            <w:pPr>
              <w:spacing w:beforeAutospacing="true" w:afterAutospacing="true"/>
              <w:jc w:val="left"/>
            </w:pPr>
            <w:r>
              <w:rPr>
                <w:rFonts w:ascii="Calibri" w:hAnsi="Calibri"/>
                <w:color w:val="000000"/>
                <w:sz w:val="22"/>
              </w:rPr>
              <w:t xml:space="preserve">Number of Special-Needs households to be provided affordable housing units</w:t>
            </w:r>
          </w:p>
        </w:tc>
        <w:tc>
          <w:tcPr>
            <w:vAlign w:val="bottom"/>
          </w:tcPr>
          <w:p>
            <w:pPr>
              <w:spacing w:beforeAutospacing="true" w:afterAutospacing="true"/>
              <w:jc w:val="right"/>
            </w:pPr>
            <w:r>
              <w:rPr>
                <w:rFonts w:ascii="Calibri" w:hAnsi="Calibri"/>
                <w:color w:val="000000"/>
                <w:sz w:val="22"/>
              </w:rPr>
              <w:t xml:space="preserve">100</w:t>
            </w:r>
          </w:p>
        </w:tc>
        <w:tc>
          <w:tcPr>
            <w:vAlign w:val="bottom"/>
          </w:tcPr>
          <w:p>
            <w:pPr>
              <w:spacing w:beforeAutospacing="true" w:afterAutospacing="true"/>
              <w:jc w:val="right"/>
            </w:pPr>
            <w:r>
              <w:rPr>
                <w:rFonts w:ascii="Calibri" w:hAnsi="Calibri"/>
                <w:color w:val="000000"/>
                <w:sz w:val="22"/>
              </w:rPr>
              <w:t xml:space="preserve">54</w:t>
            </w:r>
          </w:p>
        </w:tc>
      </w:tr>
      <w:tr>
        <w:trPr>
          <w:cantSplit w:val="true"/>
        </w:trPr>
        <w:tc>
          <w:tcPr>
            <w:vAlign w:val="top"/>
          </w:tcPr>
          <w:p>
            <w:pPr>
              <w:spacing w:beforeAutospacing="true" w:afterAutospacing="true"/>
              <w:jc w:val="left"/>
            </w:pPr>
            <w:r>
              <w:rPr>
                <w:rFonts w:ascii="Calibri" w:hAnsi="Calibri"/>
                <w:b/>
                <w:color w:val="000000"/>
                <w:sz w:val="22"/>
              </w:rPr>
              <w:t xml:space="preserve">Total</w:t>
            </w:r>
          </w:p>
        </w:tc>
        <w:tc>
          <w:tcPr>
            <w:vAlign w:val="bottom"/>
          </w:tcPr>
          <w:p>
            <w:pPr>
              <w:spacing w:beforeAutospacing="true" w:afterAutospacing="true"/>
              <w:jc w:val="right"/>
            </w:pPr>
            <w:r>
              <w:rPr>
                <w:rFonts w:ascii="Calibri" w:hAnsi="Calibri"/>
                <w:b/>
                <w:color w:val="000000"/>
                <w:sz w:val="22"/>
              </w:rPr>
              <w:t xml:space="preserve">7,000</w:t>
            </w:r>
          </w:p>
        </w:tc>
        <w:tc>
          <w:tcPr>
            <w:vAlign w:val="bottom"/>
          </w:tcPr>
          <w:p>
            <w:pPr>
              <w:spacing w:beforeAutospacing="true" w:afterAutospacing="true"/>
              <w:jc w:val="right"/>
            </w:pPr>
            <w:r>
              <w:rPr>
                <w:rFonts w:ascii="Calibri" w:hAnsi="Calibri"/>
                <w:b/>
                <w:color w:val="000000"/>
                <w:sz w:val="22"/>
              </w:rPr>
              <w:t xml:space="preserve">3,440</w:t>
            </w:r>
          </w:p>
        </w:tc>
      </w:tr>
    </w:tbl>
    <w:p>
      <w:pPr>
        <w:pStyle w:val="Caption"/>
        <w:jc w:val="center"/>
        <w:rPr>
          <w:rFonts w:asciiTheme="minorHAnsi" w:hAnsiTheme="minorHAnsi"/>
        </w:rPr>
      </w:pPr>
      <w:r>
        <w:rPr>
          <w:rFonts w:asciiTheme="minorHAnsi" w:hAnsiTheme="minorHAnsi"/>
        </w:rPr>
        <w:t xml:space="preserve">Table </w:t>
        <w:fldChar w:fldCharType="begin"/>
        <w:instrText xml:space="preserve"> SEQ Table \* ARABIC </w:instrText>
        <w:fldChar w:fldCharType="separate"/>
        <w:t>11</w:t>
        <w:fldChar w:fldCharType="end"/>
        <w:t xml:space="preserve"> – Number of Households</w:t>
      </w:r>
    </w:p>
    <w:p/>
    <w:p/>
    <w:p>
      <w:pPr>
        <w:rPr>
          <w:rFonts w:cs="Arial"/>
        </w:rPr>
      </w:pPr>
    </w:p>
    <w:tbl>
      <w:tblPr>
        <w:tblW w:w="5000"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firstRow="1" w:lastRow="1" w:firstColumn="1" w:lastColumn="1" w:noHBand="0" w:noVBand="0" w:val="01E0"/>
      </w:tblPr>
      <w:tblGrid>
        <w:gridCol w:w="4293"/>
        <w:gridCol w:w="2648"/>
        <w:gridCol w:w="2649"/>
      </w:tblGrid>
      <w:tr>
        <w:trPr>
          <w:cantSplit/>
          <w:tblHeader/>
        </w:trPr>
        <w:tc>
          <w:tcPr>
            <w:tcW w:w="4293" w:type="dxa"/>
          </w:tcPr>
          <w:p>
            <w:pPr>
              <w:pStyle w:val="Caption"/>
              <w:keepNext/>
              <w:widowControl w:val="false"/>
              <w:jc w:val="center"/>
              <w:rPr>
                <w:rFonts w:ascii="Calibri" w:hAnsi="Calibri"/>
                <w:sz w:val="22"/>
                <w:szCs w:val="22"/>
              </w:rPr>
            </w:pPr>
          </w:p>
        </w:tc>
        <w:tc>
          <w:tcPr>
            <w:tcW w:w="2648" w:type="dxa"/>
          </w:tcPr>
          <w:p>
            <w:pPr>
              <w:pStyle w:val="Caption"/>
              <w:keepNext/>
              <w:widowControl w:val="false"/>
              <w:jc w:val="center"/>
              <w:rPr>
                <w:rFonts w:ascii="Calibri" w:hAnsi="Calibri"/>
                <w:sz w:val="22"/>
                <w:szCs w:val="22"/>
              </w:rPr>
            </w:pPr>
            <w:r>
              <w:rPr>
                <w:rFonts w:ascii="Calibri" w:hAnsi="Calibri"/>
                <w:sz w:val="22"/>
                <w:szCs w:val="22"/>
              </w:rPr>
              <w:t>One-Year Goal</w:t>
            </w:r>
          </w:p>
        </w:tc>
        <w:tc>
          <w:tcPr>
            <w:tcW w:w="2649" w:type="dxa"/>
          </w:tcPr>
          <w:p>
            <w:pPr>
              <w:pStyle w:val="Caption"/>
              <w:keepNext/>
              <w:widowControl w:val="false"/>
              <w:jc w:val="center"/>
              <w:rPr>
                <w:rFonts w:ascii="Calibri" w:hAnsi="Calibri"/>
                <w:sz w:val="22"/>
                <w:szCs w:val="22"/>
              </w:rPr>
            </w:pPr>
            <w:r>
              <w:rPr>
                <w:rFonts w:ascii="Calibri" w:hAnsi="Calibri"/>
                <w:sz w:val="22"/>
                <w:szCs w:val="22"/>
              </w:rPr>
              <w:t>Actual</w:t>
            </w:r>
          </w:p>
        </w:tc>
      </w:tr>
      <w:tr>
        <w:trPr>
          <w:cantSplit w:val="true"/>
        </w:trPr>
        <w:tc>
          <w:tcPr>
            <w:vAlign w:val="bottom"/>
          </w:tcPr>
          <w:p>
            <w:pPr>
              <w:spacing w:beforeAutospacing="true" w:afterAutospacing="true"/>
              <w:jc w:val="left"/>
            </w:pPr>
            <w:r>
              <w:rPr>
                <w:rFonts w:ascii="Calibri" w:hAnsi="Calibri"/>
                <w:color w:val="000000"/>
                <w:sz w:val="22"/>
              </w:rPr>
              <w:t xml:space="preserve">Number of households supported through Rental Assistance</w:t>
            </w:r>
          </w:p>
        </w:tc>
        <w:tc>
          <w:tcPr>
            <w:vAlign w:val="bottom"/>
          </w:tcPr>
          <w:p>
            <w:pPr>
              <w:spacing w:beforeAutospacing="true" w:afterAutospacing="true"/>
              <w:jc w:val="right"/>
            </w:pPr>
            <w:r>
              <w:rPr>
                <w:rFonts w:ascii="Calibri" w:hAnsi="Calibri"/>
                <w:color w:val="000000"/>
                <w:sz w:val="22"/>
              </w:rPr>
              <w:t xml:space="preserve">65</w:t>
            </w:r>
          </w:p>
        </w:tc>
        <w:tc>
          <w:tcPr>
            <w:vAlign w:val="bottom"/>
          </w:tcPr>
          <w:p>
            <w:pPr>
              <w:spacing w:beforeAutospacing="true" w:afterAutospacing="true"/>
              <w:jc w:val="right"/>
            </w:pPr>
            <w:r>
              <w:rPr>
                <w:rFonts w:ascii="Calibri" w:hAnsi="Calibri"/>
                <w:color w:val="000000"/>
                <w:sz w:val="22"/>
              </w:rPr>
              <w:t xml:space="preserve">67</w:t>
            </w:r>
          </w:p>
        </w:tc>
      </w:tr>
      <w:tr>
        <w:trPr>
          <w:cantSplit w:val="true"/>
        </w:trPr>
        <w:tc>
          <w:tcPr>
            <w:vAlign w:val="bottom"/>
          </w:tcPr>
          <w:p>
            <w:pPr>
              <w:spacing w:beforeAutospacing="true" w:afterAutospacing="true"/>
              <w:jc w:val="left"/>
            </w:pPr>
            <w:r>
              <w:rPr>
                <w:rFonts w:ascii="Calibri" w:hAnsi="Calibri"/>
                <w:color w:val="000000"/>
                <w:sz w:val="22"/>
              </w:rPr>
              <w:t xml:space="preserve">Number of households supported through The Production of New Units</w:t>
            </w:r>
          </w:p>
        </w:tc>
        <w:tc>
          <w:tcPr>
            <w:vAlign w:val="bottom"/>
          </w:tcPr>
          <w:p>
            <w:pPr>
              <w:spacing w:beforeAutospacing="true" w:afterAutospacing="true"/>
              <w:jc w:val="right"/>
            </w:pPr>
            <w:r>
              <w:rPr>
                <w:rFonts w:ascii="Calibri" w:hAnsi="Calibri"/>
                <w:color w:val="000000"/>
                <w:sz w:val="22"/>
              </w:rPr>
              <w:t xml:space="preserve">268</w:t>
            </w:r>
          </w:p>
        </w:tc>
        <w:tc>
          <w:tcPr>
            <w:vAlign w:val="bottom"/>
          </w:tcPr>
          <w:p>
            <w:pPr>
              <w:spacing w:beforeAutospacing="true" w:afterAutospacing="true"/>
              <w:jc w:val="right"/>
            </w:pPr>
            <w:r>
              <w:rPr>
                <w:rFonts w:ascii="Calibri" w:hAnsi="Calibri"/>
                <w:color w:val="000000"/>
                <w:sz w:val="22"/>
              </w:rPr>
              <w:t xml:space="preserve">135</w:t>
            </w:r>
          </w:p>
        </w:tc>
      </w:tr>
      <w:tr>
        <w:trPr>
          <w:cantSplit w:val="true"/>
        </w:trPr>
        <w:tc>
          <w:tcPr>
            <w:vAlign w:val="bottom"/>
          </w:tcPr>
          <w:p>
            <w:pPr>
              <w:spacing w:beforeAutospacing="true" w:afterAutospacing="true"/>
              <w:jc w:val="left"/>
            </w:pPr>
            <w:r>
              <w:rPr>
                <w:rFonts w:ascii="Calibri" w:hAnsi="Calibri"/>
                <w:color w:val="000000"/>
                <w:sz w:val="22"/>
              </w:rPr>
              <w:t xml:space="preserve">Number of households supported through Rehab of Existing Units</w:t>
            </w:r>
          </w:p>
        </w:tc>
        <w:tc>
          <w:tcPr>
            <w:vAlign w:val="bottom"/>
          </w:tcPr>
          <w:p>
            <w:pPr>
              <w:spacing w:beforeAutospacing="true" w:afterAutospacing="true"/>
              <w:jc w:val="right"/>
            </w:pPr>
            <w:r>
              <w:rPr>
                <w:rFonts w:ascii="Calibri" w:hAnsi="Calibri"/>
                <w:color w:val="000000"/>
                <w:sz w:val="22"/>
              </w:rPr>
              <w:t xml:space="preserve">925</w:t>
            </w:r>
          </w:p>
        </w:tc>
        <w:tc>
          <w:tcPr>
            <w:vAlign w:val="bottom"/>
          </w:tcPr>
          <w:p>
            <w:pPr>
              <w:spacing w:beforeAutospacing="true" w:afterAutospacing="true"/>
              <w:jc w:val="right"/>
            </w:pPr>
            <w:r>
              <w:rPr>
                <w:rFonts w:ascii="Calibri" w:hAnsi="Calibri"/>
                <w:color w:val="000000"/>
                <w:sz w:val="22"/>
              </w:rPr>
              <w:t xml:space="preserve">121</w:t>
            </w:r>
          </w:p>
        </w:tc>
      </w:tr>
      <w:tr>
        <w:trPr>
          <w:cantSplit w:val="true"/>
        </w:trPr>
        <w:tc>
          <w:tcPr>
            <w:vAlign w:val="bottom"/>
          </w:tcPr>
          <w:p>
            <w:pPr>
              <w:spacing w:beforeAutospacing="true" w:afterAutospacing="true"/>
              <w:jc w:val="left"/>
            </w:pPr>
            <w:r>
              <w:rPr>
                <w:rFonts w:ascii="Calibri" w:hAnsi="Calibri"/>
                <w:color w:val="000000"/>
                <w:sz w:val="22"/>
              </w:rPr>
              <w:t xml:space="preserve">Number of households supported through Acquisition of Existing Units</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43</w:t>
            </w:r>
          </w:p>
        </w:tc>
      </w:tr>
      <w:tr>
        <w:trPr>
          <w:cantSplit w:val="true"/>
        </w:trPr>
        <w:tc>
          <w:tcPr>
            <w:vAlign w:val="top"/>
          </w:tcPr>
          <w:p>
            <w:pPr>
              <w:spacing w:beforeAutospacing="true" w:afterAutospacing="true"/>
              <w:jc w:val="left"/>
            </w:pPr>
            <w:r>
              <w:rPr>
                <w:rFonts w:ascii="Calibri" w:hAnsi="Calibri"/>
                <w:b/>
                <w:color w:val="000000"/>
                <w:sz w:val="22"/>
              </w:rPr>
              <w:t xml:space="preserve">Total</w:t>
            </w:r>
          </w:p>
        </w:tc>
        <w:tc>
          <w:tcPr>
            <w:vAlign w:val="bottom"/>
          </w:tcPr>
          <w:p>
            <w:pPr>
              <w:spacing w:beforeAutospacing="true" w:afterAutospacing="true"/>
              <w:jc w:val="right"/>
            </w:pPr>
            <w:r>
              <w:rPr>
                <w:rFonts w:ascii="Calibri" w:hAnsi="Calibri"/>
                <w:b/>
                <w:color w:val="000000"/>
                <w:sz w:val="22"/>
              </w:rPr>
              <w:t xml:space="preserve">1,258</w:t>
            </w:r>
          </w:p>
        </w:tc>
        <w:tc>
          <w:tcPr>
            <w:vAlign w:val="bottom"/>
          </w:tcPr>
          <w:p>
            <w:pPr>
              <w:spacing w:beforeAutospacing="true" w:afterAutospacing="true"/>
              <w:jc w:val="right"/>
            </w:pPr>
            <w:r>
              <w:rPr>
                <w:rFonts w:ascii="Calibri" w:hAnsi="Calibri"/>
                <w:b/>
                <w:color w:val="000000"/>
                <w:sz w:val="22"/>
              </w:rPr>
              <w:t xml:space="preserve">366</w:t>
            </w:r>
          </w:p>
        </w:tc>
      </w:tr>
    </w:tbl>
    <w:p>
      <w:pPr>
        <w:pStyle w:val="Caption"/>
        <w:jc w:val="center"/>
        <w:rPr>
          <w:rFonts w:asciiTheme="minorHAnsi" w:hAnsiTheme="minorHAnsi"/>
        </w:rPr>
      </w:pPr>
      <w:r>
        <w:rPr>
          <w:rFonts w:asciiTheme="minorHAnsi" w:hAnsiTheme="minorHAnsi"/>
        </w:rPr>
        <w:t xml:space="preserve">Table </w:t>
        <w:fldChar w:fldCharType="begin"/>
        <w:instrText xml:space="preserve"> SEQ Table \* ARABIC </w:instrText>
        <w:fldChar w:fldCharType="separate"/>
        <w:t>12</w:t>
        <w:fldChar w:fldCharType="end"/>
        <w:t xml:space="preserve"> – Number of Households Supported</w:t>
      </w:r>
    </w:p>
    <w:p>
      <w:pPr>
        <w:rPr>
          <w:rFonts w:cs="Arial"/>
        </w:rPr>
      </w:pPr>
    </w:p>
    <w:p>
      <w:pPr>
        <w:rPr>
          <w:rFonts w:cs="Arial"/>
        </w:rPr>
      </w:pPr>
    </w:p>
    <w:p>
      <w:pPr>
        <w:widowControl w:val="false"/>
        <w:spacing w:line="204" w:lineRule="auto"/>
        <w:rPr>
          <w:b/>
          <w:sz w:val="24"/>
          <w:szCs w:val="24"/>
        </w:rPr>
      </w:pPr>
      <w:r>
        <w:rPr>
          <w:b/>
          <w:sz w:val="24"/>
          <w:szCs w:val="24"/>
        </w:rPr>
        <w:t>Discuss the difference between goals and outcomes and problems encountered in meeting these goals.</w:t>
      </w:r>
    </w:p>
    <w:p>
      <w:pPr>
        <w:spacing w:beforeAutospacing="true" w:afterAutospacing="true"/>
        <w:rPr>
          <w:rFonts w:cs="Arial"/>
        </w:rPr>
      </w:pPr>
      <w:r>
        <w:rPr>
          <w:rFonts w:cs="Arial"/>
        </w:rPr>
        <w:t xml:space="preserve">During 2019, the Housing Division saw limited success toward its goals.  The number of CHDO units and Homeownership Development units were close to the goals established, as was the tenant based rental assistance program.  The number of completed rental units was due to slow flow of information from property owners as projects are completed.  Our Downpayment Assistance program continued to be a challenge with a hot homeownership market and sellers unwilling to wait the required period of time needed to process the applications.  While Home Repair needs continue to be a significant issue in the community, our subrecipient partners dealt with staff turnover that slowed their ability to address these needs.  The one goal we were thankful to not meet was the number of households needing optional relocation due to emergency vacate orders from Code Enforcement. </w:t>
      </w:r>
    </w:p>
    <w:p>
      <w:pPr>
        <w:widowControl w:val="false"/>
        <w:spacing w:line="204" w:lineRule="auto"/>
        <w:rPr>
          <w:b/>
          <w:sz w:val="24"/>
          <w:szCs w:val="24"/>
        </w:rPr>
      </w:pPr>
      <w:r>
        <w:rPr>
          <w:b/>
          <w:sz w:val="24"/>
          <w:szCs w:val="24"/>
        </w:rPr>
        <w:t>Discuss how these outcomes will impact future annual action plans.</w:t>
      </w:r>
    </w:p>
    <w:p>
      <w:pPr>
        <w:spacing w:beforeAutospacing="true" w:afterAutospacing="true"/>
        <w:rPr>
          <w:rFonts w:cs="Arial"/>
        </w:rPr>
      </w:pPr>
      <w:r>
        <w:rPr>
          <w:rFonts w:cs="Arial"/>
        </w:rPr>
        <w:t xml:space="preserve">These outcomes will not impact future annual action plans.</w:t>
      </w:r>
    </w:p>
    <w:p>
      <w:pPr>
        <w:keepNext/>
        <w:widowControl w:val="false"/>
        <w:spacing w:line="204" w:lineRule="auto"/>
        <w:rPr>
          <w:b/>
          <w:sz w:val="24"/>
          <w:szCs w:val="24"/>
        </w:rPr>
      </w:pPr>
      <w:r>
        <w:rPr>
          <w:b/>
          <w:sz w:val="24"/>
          <w:szCs w:val="24"/>
        </w:rPr>
        <w:t>Include the number of extremely low-income, low-income, and moderate-income persons served by each activity where information on income by family size is required to determine the eligibility of the activity.</w:t>
      </w:r>
    </w:p>
    <w:p>
      <w:pPr>
        <w:widowControl w:val="false"/>
        <w:spacing w:line="204" w:lineRule="auto"/>
        <w:rPr>
          <w:b/>
          <w:vanish/>
          <w:sz w:val="24"/>
          <w:szCs w:val="24"/>
        </w:rPr>
      </w:pPr>
    </w:p>
    <w:tbl>
      <w:tblPr>
        <w:tblW w:w="0" w:type="auto"/>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firstRow="1" w:lastRow="1" w:firstColumn="1" w:lastColumn="1" w:noHBand="0" w:noVBand="0" w:val="01E0"/>
      </w:tblPr>
      <w:tblGrid>
        <w:gridCol w:w="4081"/>
        <w:gridCol w:w="1859"/>
        <w:gridCol w:w="1890"/>
        <w:gridCol w:w="25"/>
      </w:tblGrid>
      <w:tr>
        <w:trPr>
          <w:cantSplit/>
        </w:trPr>
        <w:tc>
          <w:tcPr>
            <w:tcW w:w="4081" w:type="dxa"/>
          </w:tcPr>
          <w:p>
            <w:pPr>
              <w:keepNext/>
              <w:widowControl w:val="false"/>
              <w:spacing w:after="0" w:line="240" w:lineRule="auto"/>
              <w:jc w:val="center"/>
              <w:rPr>
                <w:b/>
              </w:rPr>
            </w:pPr>
            <w:r>
              <w:rPr>
                <w:b/>
              </w:rPr>
              <w:t>Number  of Households Served</w:t>
            </w:r>
          </w:p>
        </w:tc>
        <w:tc>
          <w:tcPr>
            <w:tcW w:w="1859" w:type="dxa"/>
          </w:tcPr>
          <w:p>
            <w:pPr>
              <w:keepNext/>
              <w:widowControl w:val="false"/>
              <w:spacing w:after="0" w:line="240" w:lineRule="auto"/>
              <w:jc w:val="center"/>
              <w:rPr>
                <w:b/>
              </w:rPr>
            </w:pPr>
            <w:r>
              <w:rPr>
                <w:b/>
              </w:rPr>
              <w:t>CDBG Actual</w:t>
            </w:r>
          </w:p>
        </w:tc>
        <w:tc>
          <w:tcPr>
            <w:tcW w:w="1915" w:type="dxa"/>
            <w:gridSpan w:val="2"/>
          </w:tcPr>
          <w:p>
            <w:pPr>
              <w:keepNext/>
              <w:widowControl w:val="false"/>
              <w:spacing w:after="0" w:line="240" w:lineRule="auto"/>
              <w:jc w:val="center"/>
              <w:rPr>
                <w:b/>
              </w:rPr>
            </w:pPr>
            <w:r>
              <w:rPr>
                <w:b/>
              </w:rPr>
              <w:t>HOME Actual</w:t>
            </w:r>
          </w:p>
        </w:tc>
      </w:tr>
      <w:tr>
        <w:trPr>
          <w:cantSplit w:val="true"/>
        </w:trPr>
        <w:tc>
          <w:tcPr>
            <w:vAlign w:val="bottom"/>
          </w:tcPr>
          <w:p>
            <w:pPr>
              <w:spacing w:beforeAutospacing="true" w:afterAutospacing="true"/>
              <w:jc w:val="left"/>
            </w:pPr>
            <w:r>
              <w:rPr>
                <w:rFonts w:ascii="Calibri" w:hAnsi="Calibri"/>
                <w:color w:val="000000"/>
                <w:sz w:val="22"/>
              </w:rPr>
              <w:t xml:space="preserve">Extremely Low-income</w:t>
            </w:r>
          </w:p>
        </w:tc>
        <w:tc>
          <w:tcPr>
            <w:vAlign w:val="bottom"/>
          </w:tcPr>
          <w:p>
            <w:pPr>
              <w:spacing w:beforeAutospacing="true" w:afterAutospacing="true"/>
              <w:jc w:val="right"/>
            </w:pPr>
            <w:r>
              <w:rPr>
                <w:rFonts w:ascii="Calibri" w:hAnsi="Calibri"/>
                <w:color w:val="000000"/>
                <w:sz w:val="22"/>
              </w:rPr>
              <w:t xml:space="preserve">199</w:t>
            </w:r>
          </w:p>
        </w:tc>
        <w:tc>
          <w:tcPr>
            <w:vAlign w:val="bottom"/>
          </w:tcPr>
          <w:p>
            <w:pPr>
              <w:spacing w:beforeAutospacing="true" w:afterAutospacing="true"/>
              <w:jc w:val="right"/>
            </w:pPr>
            <w:r>
              <w:rPr>
                <w:rFonts w:ascii="Calibri" w:hAnsi="Calibri"/>
                <w:color w:val="000000"/>
                <w:sz w:val="22"/>
              </w:rPr>
              <w:t xml:space="preserve">1</w:t>
            </w:r>
          </w:p>
        </w:tc>
      </w:tr>
      <w:tr>
        <w:trPr>
          <w:cantSplit w:val="true"/>
        </w:trPr>
        <w:tc>
          <w:tcPr>
            <w:vAlign w:val="bottom"/>
          </w:tcPr>
          <w:p>
            <w:pPr>
              <w:spacing w:beforeAutospacing="true" w:afterAutospacing="true"/>
              <w:jc w:val="left"/>
            </w:pPr>
            <w:r>
              <w:rPr>
                <w:rFonts w:ascii="Calibri" w:hAnsi="Calibri"/>
                <w:color w:val="000000"/>
                <w:sz w:val="22"/>
              </w:rPr>
              <w:t xml:space="preserve">Low-income</w:t>
            </w:r>
          </w:p>
        </w:tc>
        <w:tc>
          <w:tcPr>
            <w:vAlign w:val="bottom"/>
          </w:tcPr>
          <w:p>
            <w:pPr>
              <w:spacing w:beforeAutospacing="true" w:afterAutospacing="true"/>
              <w:jc w:val="right"/>
            </w:pPr>
            <w:r>
              <w:rPr>
                <w:rFonts w:ascii="Calibri" w:hAnsi="Calibri"/>
                <w:color w:val="000000"/>
                <w:sz w:val="22"/>
              </w:rPr>
              <w:t xml:space="preserve">248</w:t>
            </w:r>
          </w:p>
        </w:tc>
        <w:tc>
          <w:tcPr>
            <w:vAlign w:val="bottom"/>
          </w:tcPr>
          <w:p>
            <w:pPr>
              <w:spacing w:beforeAutospacing="true" w:afterAutospacing="true"/>
              <w:jc w:val="right"/>
            </w:pPr>
            <w:r>
              <w:rPr>
                <w:rFonts w:ascii="Calibri" w:hAnsi="Calibri"/>
                <w:color w:val="000000"/>
                <w:sz w:val="22"/>
              </w:rPr>
              <w:t xml:space="preserve">10</w:t>
            </w:r>
          </w:p>
        </w:tc>
      </w:tr>
      <w:tr>
        <w:trPr>
          <w:cantSplit w:val="true"/>
        </w:trPr>
        <w:tc>
          <w:tcPr>
            <w:vAlign w:val="bottom"/>
          </w:tcPr>
          <w:p>
            <w:pPr>
              <w:spacing w:beforeAutospacing="true" w:afterAutospacing="true"/>
              <w:jc w:val="left"/>
            </w:pPr>
            <w:r>
              <w:rPr>
                <w:rFonts w:ascii="Calibri" w:hAnsi="Calibri"/>
                <w:color w:val="000000"/>
                <w:sz w:val="22"/>
              </w:rPr>
              <w:t xml:space="preserve">Moderate-income</w:t>
            </w:r>
          </w:p>
        </w:tc>
        <w:tc>
          <w:tcPr>
            <w:vAlign w:val="bottom"/>
          </w:tcPr>
          <w:p>
            <w:pPr>
              <w:spacing w:beforeAutospacing="true" w:afterAutospacing="true"/>
              <w:jc w:val="right"/>
            </w:pPr>
            <w:r>
              <w:rPr>
                <w:rFonts w:ascii="Calibri" w:hAnsi="Calibri"/>
                <w:color w:val="000000"/>
                <w:sz w:val="22"/>
              </w:rPr>
              <w:t xml:space="preserve">240</w:t>
            </w:r>
          </w:p>
        </w:tc>
        <w:tc>
          <w:tcPr>
            <w:vAlign w:val="bottom"/>
          </w:tcPr>
          <w:p>
            <w:pPr>
              <w:spacing w:beforeAutospacing="true" w:afterAutospacing="true"/>
              <w:jc w:val="right"/>
            </w:pPr>
            <w:r>
              <w:rPr>
                <w:rFonts w:ascii="Calibri" w:hAnsi="Calibri"/>
                <w:color w:val="000000"/>
                <w:sz w:val="22"/>
              </w:rPr>
              <w:t xml:space="preserve">7</w:t>
            </w:r>
          </w:p>
        </w:tc>
      </w:tr>
      <w:tr>
        <w:trPr>
          <w:cantSplit w:val="true"/>
        </w:trPr>
        <w:tc>
          <w:tcPr>
            <w:vAlign w:val="bottom"/>
          </w:tcPr>
          <w:p>
            <w:pPr>
              <w:spacing w:beforeAutospacing="true" w:afterAutospacing="true"/>
              <w:jc w:val="left"/>
            </w:pPr>
            <w:r>
              <w:rPr>
                <w:rFonts w:ascii="Calibri" w:hAnsi="Calibri"/>
                <w:b/>
                <w:color w:val="000000"/>
                <w:sz w:val="22"/>
              </w:rPr>
              <w:t xml:space="preserve">Total</w:t>
            </w:r>
          </w:p>
        </w:tc>
        <w:tc>
          <w:tcPr>
            <w:vAlign w:val="bottom"/>
          </w:tcPr>
          <w:p>
            <w:pPr>
              <w:spacing w:beforeAutospacing="true" w:afterAutospacing="true"/>
              <w:jc w:val="right"/>
            </w:pPr>
            <w:r>
              <w:rPr>
                <w:rFonts w:ascii="Calibri" w:hAnsi="Calibri"/>
                <w:b/>
                <w:color w:val="000000"/>
                <w:sz w:val="22"/>
              </w:rPr>
              <w:t xml:space="preserve">687</w:t>
            </w:r>
          </w:p>
        </w:tc>
        <w:tc>
          <w:tcPr>
            <w:vAlign w:val="bottom"/>
          </w:tcPr>
          <w:p>
            <w:pPr>
              <w:spacing w:beforeAutospacing="true" w:afterAutospacing="true"/>
              <w:jc w:val="right"/>
            </w:pPr>
            <w:r>
              <w:rPr>
                <w:rFonts w:ascii="Calibri" w:hAnsi="Calibri"/>
                <w:b/>
                <w:color w:val="000000"/>
                <w:sz w:val="22"/>
              </w:rPr>
              <w:t xml:space="preserve">18</w:t>
            </w:r>
          </w:p>
        </w:tc>
      </w:tr>
    </w:tbl>
    <w:p>
      <w:pPr>
        <w:pStyle w:val="Caption"/>
        <w:jc w:val="center"/>
        <w:rPr>
          <w:rFonts w:asciiTheme="minorHAnsi" w:hAnsiTheme="minorHAnsi"/>
        </w:rPr>
      </w:pPr>
      <w:r>
        <w:rPr>
          <w:rFonts w:asciiTheme="minorHAnsi" w:hAnsiTheme="minorHAnsi"/>
        </w:rPr>
        <w:t xml:space="preserve">Table </w:t>
        <w:fldChar w:fldCharType="begin"/>
        <w:instrText xml:space="preserve"> SEQ Table \* ARABIC </w:instrText>
        <w:fldChar w:fldCharType="separate"/>
        <w:t>13</w:t>
        <w:fldChar w:fldCharType="end"/>
        <w:t xml:space="preserve"> – Number of Households Served</w:t>
      </w:r>
    </w:p>
    <w:p>
      <w:pPr>
        <w:widowControl w:val="false"/>
        <w:spacing w:line="204" w:lineRule="auto"/>
        <w:rPr>
          <w:b/>
          <w:sz w:val="24"/>
          <w:szCs w:val="24"/>
        </w:rPr>
      </w:pPr>
    </w:p>
    <w:p>
      <w:pPr>
        <w:widowControl w:val="false"/>
        <w:spacing w:line="204" w:lineRule="auto"/>
        <w:rPr>
          <w:b/>
          <w:sz w:val="24"/>
          <w:szCs w:val="24"/>
        </w:rPr>
      </w:pPr>
    </w:p>
    <w:p>
      <w:pPr>
        <w:widowControl w:val="false"/>
        <w:spacing w:line="204" w:lineRule="auto"/>
        <w:rPr>
          <w:b/>
          <w:sz w:val="24"/>
          <w:szCs w:val="24"/>
        </w:rPr>
      </w:pPr>
      <w:r>
        <w:rPr>
          <w:b/>
          <w:sz w:val="24"/>
          <w:szCs w:val="24"/>
        </w:rPr>
        <w:t>Narrative Information</w:t>
      </w:r>
    </w:p>
    <w:p>
      <w:pPr>
        <w:spacing w:beforeAutospacing="true" w:afterAutospacing="true"/>
        <w:rPr>
          <w:rFonts w:cs="Arial"/>
        </w:rPr>
      </w:pPr>
      <w:r>
        <w:rPr>
          <w:rFonts w:cs="Arial"/>
        </w:rPr>
        <w:t xml:space="preserve">The city has assisted more households than what is reported in this CAPER. However, the city was not able to track outcomes for all projects in time to complete this report, given the disruption due to COVID-19.</w:t>
      </w:r>
    </w:p>
    <w:p>
      <w:pPr>
        <w:rPr>
          <w:rFonts w:cs="Arial"/>
        </w:rPr>
      </w:pPr>
    </w:p>
    <w:p>
      <w:pPr>
        <w:pStyle w:val="Heading2"/>
        <w:pageBreakBefore/>
        <w:rPr>
          <w:rFonts w:ascii="Calibri" w:hAnsi="Calibri"/>
          <w:i w:val="false"/>
        </w:rPr>
        <w:sectPr>
          <w:pgSz w:w="12240" w:h="15840" w:code="1"/>
          <w:pgMar w:top="1440" w:right="1440" w:bottom="1440" w:left="1440" w:header="720" w:footer="720" w:gutter="0"/>
          <w:cols w:space="720"/>
          <w:docGrid w:linePitch="360"/>
        </w:sectPr>
      </w:pPr>
    </w:p>
    <w:bookmarkEnd w:id="2"/>
    <w:p>
      <w:pPr>
        <w:pStyle w:val="Heading2"/>
        <w:pageBreakBefore/>
        <w:widowControl w:val="false"/>
        <w:rPr>
          <w:rFonts w:ascii="Calibri" w:hAnsi="Calibri"/>
          <w:i w:val="false"/>
        </w:rPr>
      </w:pPr>
      <w:r>
        <w:rPr>
          <w:rFonts w:ascii="Calibri" w:hAnsi="Calibri"/>
          <w:i w:val="false"/>
        </w:rPr>
        <w:t>CR-25 - Homeless and Other Special Needs 91.220(d, e); 91.320(d, e); 91.520(c)</w:t>
      </w:r>
    </w:p>
    <w:p>
      <w:pPr>
        <w:keepNext/>
        <w:widowControl w:val="false"/>
        <w:rPr>
          <w:b/>
          <w:sz w:val="24"/>
          <w:szCs w:val="24"/>
        </w:rPr>
      </w:pPr>
      <w:r>
        <w:rPr>
          <w:b/>
          <w:sz w:val="24"/>
          <w:szCs w:val="24"/>
        </w:rPr>
        <w:t>Evaluate the jurisdiction’s progress in meeting its specific objectives for reducing and ending homelessness through:</w:t>
      </w:r>
    </w:p>
    <w:p>
      <w:pPr>
        <w:widowControl w:val="false"/>
        <w:rPr>
          <w:b/>
          <w:sz w:val="24"/>
          <w:szCs w:val="24"/>
        </w:rPr>
      </w:pPr>
      <w:r>
        <w:rPr>
          <w:b/>
          <w:sz w:val="24"/>
          <w:szCs w:val="24"/>
        </w:rPr>
        <w:t>Reaching out to homeless persons (especially unsheltered persons) and assessing their individual needs</w:t>
      </w:r>
    </w:p>
    <w:p>
      <w:pPr>
        <w:widowControl w:val="false"/>
        <w:spacing w:beforeAutospacing="true" w:afterAutospacing="true"/>
        <w:rPr>
          <w:rFonts w:cs="Arial"/>
        </w:rPr>
      </w:pPr>
      <w:r>
        <w:rPr>
          <w:rFonts w:cs="Arial"/>
        </w:rPr>
        <w:t xml:space="preserve">Each year, the City of Columbus investsgeneral fund dollars to the Maryhaven Collaborative Outreach Team (MCOT). MCOT uses a strategy to provide referrals to medical and behavioral healthcare and linkage to shelter and housing.</w:t>
      </w:r>
    </w:p>
    <w:p>
      <w:pPr>
        <w:widowControl w:val="false"/>
        <w:rPr>
          <w:b/>
          <w:sz w:val="24"/>
          <w:szCs w:val="24"/>
        </w:rPr>
      </w:pPr>
      <w:r>
        <w:rPr>
          <w:b/>
          <w:sz w:val="24"/>
          <w:szCs w:val="24"/>
        </w:rPr>
        <w:t>Addressing the emergency shelter and transitional housing needs of homeless persons</w:t>
      </w:r>
    </w:p>
    <w:p>
      <w:pPr>
        <w:widowControl w:val="false"/>
        <w:spacing w:beforeAutospacing="true" w:afterAutospacing="true"/>
        <w:rPr>
          <w:rFonts w:cs="Arial"/>
        </w:rPr>
      </w:pPr>
      <w:r>
        <w:rPr>
          <w:rFonts w:cs="Arial"/>
        </w:rPr>
        <w:t xml:space="preserve">Please see the ESG CAPER and the COC rebuilding lives program for more information. </w:t>
      </w:r>
    </w:p>
    <w:p>
      <w:pPr>
        <w:widowControl w:val="false"/>
        <w:rPr>
          <w:b/>
          <w:sz w:val="24"/>
          <w:szCs w:val="24"/>
        </w:rPr>
      </w:pPr>
      <w:r>
        <w:rPr>
          <w:b/>
          <w:sz w:val="24"/>
          <w:szCs w:val="24"/>
        </w:rPr>
        <w:t>Helping low-income individuals and families avoid becoming homeless, especially extremely low-income individuals and families and those who are:  likely to become homeless after being discharged from publicly funded institutions and systems of care (such as health care facilities, mental health facilities, foster care and other youth facilities, and corrections programs and institutions);  and,  receiving assistance from public or private agencies that address housing, health, social services, employment, education, or youth needs</w:t>
      </w:r>
    </w:p>
    <w:p>
      <w:pPr>
        <w:widowControl w:val="false"/>
        <w:spacing w:beforeAutospacing="true" w:afterAutospacing="true"/>
        <w:rPr>
          <w:rFonts w:cs="Arial"/>
        </w:rPr>
      </w:pPr>
      <w:r>
        <w:rPr>
          <w:rFonts w:cs="Arial"/>
        </w:rPr>
        <w:t xml:space="preserve">As a member of the Columbus and Franklin County Continuum of Care (CoC, the city works with the (CoC) to create a path to housing from mental health facilities in partnership with the ADAMH Board of Franklin County. The city also invests in both Huckleberry House and OSU Star House who respectively serve runaway and homeless youth.</w:t>
      </w:r>
    </w:p>
    <w:p>
      <w:pPr>
        <w:widowControl w:val="false"/>
        <w:rPr>
          <w:b/>
          <w:sz w:val="24"/>
          <w:szCs w:val="24"/>
        </w:rPr>
      </w:pPr>
      <w:r>
        <w:rPr>
          <w:b/>
          <w:sz w:val="24"/>
          <w:szCs w:val="24"/>
        </w:rPr>
        <w:t>Helping homeless persons (especially chronically homeless individuals and families, families with children, veterans and their families, and unaccompanied youth) make the transition to permanent housing and independent living, including shortening the period of time that individuals and families experience homelessness, facilitating access for homeless individuals and families to affordable housing units, and preventing individuals and families who were recently homeless from becoming homeless again</w:t>
      </w:r>
    </w:p>
    <w:p>
      <w:pPr>
        <w:widowControl w:val="false"/>
        <w:spacing w:beforeAutospacing="true" w:afterAutospacing="true"/>
        <w:rPr>
          <w:rFonts w:cs="Arial"/>
        </w:rPr>
      </w:pPr>
      <w:r>
        <w:rPr>
          <w:rFonts w:cs="Arial"/>
        </w:rPr>
        <w:t xml:space="preserve">Each year, the city commits general fund dollars to the Rebuilding lives Collaborative. More information on the funding for that program can be found on the ESG reports. </w:t>
      </w:r>
    </w:p>
    <w:p>
      <w:pPr>
        <w:widowControl w:val="false"/>
        <w:rPr>
          <w:rFonts w:cs="Arial"/>
          <w:szCs w:val="26"/>
        </w:rPr>
      </w:pPr>
    </w:p>
    <w:p>
      <w:pPr>
        <w:pStyle w:val="Heading2"/>
        <w:pageBreakBefore/>
        <w:widowControl w:val="false"/>
        <w:rPr>
          <w:rFonts w:ascii="Calibri" w:hAnsi="Calibri"/>
          <w:i w:val="false"/>
        </w:rPr>
      </w:pPr>
      <w:r>
        <w:rPr>
          <w:rFonts w:ascii="Calibri" w:hAnsi="Calibri"/>
          <w:i w:val="false"/>
        </w:rPr>
        <w:t>CR-30 - Public Housing 91.220(h); 91.320(j)</w:t>
      </w:r>
    </w:p>
    <w:p>
      <w:pPr>
        <w:keepNext/>
        <w:widowControl w:val="false"/>
        <w:rPr>
          <w:b/>
          <w:sz w:val="24"/>
          <w:szCs w:val="24"/>
        </w:rPr>
      </w:pPr>
      <w:r>
        <w:rPr>
          <w:b/>
          <w:sz w:val="24"/>
          <w:szCs w:val="24"/>
        </w:rPr>
        <w:t>Actions taken to address the needs of public housing</w:t>
      </w:r>
    </w:p>
    <w:p>
      <w:pPr>
        <w:keepNext/>
        <w:widowControl w:val="false"/>
        <w:spacing w:beforeAutospacing="true" w:afterAutospacing="true"/>
        <w:rPr>
          <w:rFonts w:cs="Arial"/>
        </w:rPr>
      </w:pPr>
      <w:r>
        <w:rPr>
          <w:rFonts w:cs="Arial"/>
        </w:rPr>
        <w:t xml:space="preserve">The City of Columbus is actively engaged with the Columbus Metropolitan Housing Authority in the redevelopment of Poindexter Village which has received a Choice Neighborhoods grant.  Activities include the redevelopment of infrastructure, funding for new multifamily units, and homeownership opportunities adjacent to the development.</w:t>
      </w:r>
    </w:p>
    <w:p>
      <w:pPr>
        <w:widowControl w:val="false"/>
        <w:rPr>
          <w:b/>
          <w:sz w:val="24"/>
          <w:szCs w:val="24"/>
        </w:rPr>
      </w:pPr>
      <w:r>
        <w:rPr>
          <w:b/>
          <w:sz w:val="24"/>
          <w:szCs w:val="24"/>
        </w:rPr>
        <w:t>Actions taken to encourage public housing residents to become more involved in management and participate in homeownership</w:t>
      </w:r>
    </w:p>
    <w:p>
      <w:pPr>
        <w:widowControl w:val="false"/>
        <w:spacing w:beforeAutospacing="true" w:afterAutospacing="true"/>
        <w:rPr>
          <w:rFonts w:cs="Arial"/>
        </w:rPr>
      </w:pPr>
      <w:r>
        <w:rPr>
          <w:rFonts w:cs="Arial"/>
        </w:rPr>
        <w:t xml:space="preserve">The City of Columbus works with the Columbus Metropolitan Housing Authority to provide first time homebuyer assistance to homeownership voucher recipients.</w:t>
      </w:r>
    </w:p>
    <w:p>
      <w:pPr>
        <w:widowControl w:val="false"/>
        <w:rPr>
          <w:b/>
          <w:sz w:val="24"/>
          <w:szCs w:val="24"/>
        </w:rPr>
      </w:pPr>
      <w:r>
        <w:rPr>
          <w:b/>
          <w:sz w:val="24"/>
          <w:szCs w:val="24"/>
        </w:rPr>
        <w:t>Actions taken to provide assistance to troubled PHAs</w:t>
      </w:r>
    </w:p>
    <w:p>
      <w:pPr>
        <w:widowControl w:val="false"/>
        <w:spacing w:beforeAutospacing="true" w:afterAutospacing="true"/>
        <w:rPr>
          <w:rFonts w:cs="Arial"/>
        </w:rPr>
      </w:pPr>
      <w:r>
        <w:rPr>
          <w:rFonts w:cs="Arial"/>
        </w:rPr>
        <w:t xml:space="preserve">CMHA is not a troubled PHA </w:t>
      </w:r>
    </w:p>
    <w:p>
      <w:pPr>
        <w:pStyle w:val="Heading2"/>
        <w:pageBreakBefore/>
        <w:widowControl w:val="false"/>
        <w:rPr>
          <w:rFonts w:ascii="Calibri" w:hAnsi="Calibri"/>
          <w:i w:val="false"/>
        </w:rPr>
      </w:pPr>
      <w:r>
        <w:rPr>
          <w:rFonts w:ascii="Calibri" w:hAnsi="Calibri"/>
          <w:i w:val="false"/>
        </w:rPr>
        <w:t>CR-35 - Other Actions 91.220(j)-(k); 91.320(i)-(j)</w:t>
      </w:r>
    </w:p>
    <w:p>
      <w:pPr>
        <w:widowControl w:val="false"/>
        <w:rPr>
          <w:b/>
          <w:sz w:val="24"/>
          <w:szCs w:val="24"/>
        </w:rPr>
      </w:pPr>
      <w:r>
        <w:rPr>
          <w:b/>
          <w:sz w:val="24"/>
          <w:szCs w:val="24"/>
        </w:rPr>
        <w:t>Actions taken to remove or ameliorate the negative effects of public policies that serve as barriers to affordable housing such as land use controls, tax policies affecting land, zoning ordinances, building codes, fees and charges, growth limitations, and policies affecting the return on residential investment. 91.220 (j); 91.320 (i)</w:t>
      </w:r>
    </w:p>
    <w:p>
      <w:pPr>
        <w:widowControl w:val="false"/>
        <w:spacing w:beforeAutospacing="true" w:afterAutospacing="true"/>
        <w:rPr>
          <w:rFonts w:cs="Arial"/>
        </w:rPr>
      </w:pPr>
      <w:r>
        <w:rPr>
          <w:rFonts w:cs="Arial"/>
        </w:rPr>
        <w:t xml:space="preserve">During 2018, the City did a major re-write of tax abatement policies.  In areas that are market ready or ready for revitalization, developers must set aside 10% of the units to be occupied by and affordable to households at or below 80% AMI and 10% of the units to be occupied by and affordable to households at or below 100% AMI.  These requirements generally become effective in 2019.  In late 2019 the City, MORPC and the larger 7 county region began an affordable housing study to take a closer look at barriers to providing safe, affordable housing to all residents of Central Ohio. Multiple representatives from the City of Columbus including representatives from the Housing divison and the Grants Management team are participatig in this effort.  </w:t>
      </w:r>
    </w:p>
    <w:p>
      <w:pPr>
        <w:widowControl w:val="false"/>
        <w:rPr>
          <w:b/>
          <w:sz w:val="24"/>
          <w:szCs w:val="24"/>
        </w:rPr>
      </w:pPr>
      <w:r>
        <w:rPr>
          <w:b/>
          <w:sz w:val="24"/>
          <w:szCs w:val="24"/>
        </w:rPr>
        <w:t>Actions taken to address obstacles to meeting underserved needs.  91.220(k); 91.320(j)</w:t>
      </w:r>
    </w:p>
    <w:p>
      <w:pPr>
        <w:widowControl w:val="false"/>
        <w:spacing w:beforeAutospacing="true" w:afterAutospacing="true"/>
        <w:rPr>
          <w:rFonts w:cs="Arial"/>
        </w:rPr>
      </w:pPr>
      <w:r>
        <w:rPr>
          <w:rFonts w:cs="Arial"/>
        </w:rPr>
        <w:t xml:space="preserve">The city identified "affordable housing preservation and development" and "the provision of safe and sanitary housing" as priority needs. The City of Columbus has several programs in place that address these obstacles. Developers, using low-income housing tax credits, receive guidance, support and HOME funds to provide affordable rental housing.  These units serve very low income, low income and special needs populations in the community. </w:t>
      </w:r>
    </w:p>
    <w:p>
      <w:pPr>
        <w:widowControl w:val="false"/>
        <w:spacing w:beforeAutospacing="true" w:afterAutospacing="true"/>
        <w:rPr>
          <w:rFonts w:cs="Arial"/>
        </w:rPr>
      </w:pPr>
      <w:r>
        <w:rPr>
          <w:rFonts w:cs="Arial"/>
        </w:rPr>
        <w:t xml:space="preserve">For those individuals most in need, the city provides programs for owner-occupied housing rehabilitation, emergency repair, and critical repairs for seniors living in their homes. By using federal funds and local bond dollars, the city funds vacancy prevention programs in the City. These programs provide the necessary assistance to allow homeowners to remain in a safe and sanitary home and prevent further vacant housing.</w:t>
      </w:r>
    </w:p>
    <w:p>
      <w:pPr>
        <w:widowControl w:val="false"/>
        <w:rPr>
          <w:b/>
          <w:sz w:val="24"/>
          <w:szCs w:val="24"/>
        </w:rPr>
      </w:pPr>
      <w:r>
        <w:rPr>
          <w:b/>
          <w:sz w:val="24"/>
          <w:szCs w:val="24"/>
        </w:rPr>
        <w:t>Actions taken to reduce lead-based paint hazards. 91.220(k); 91.320(j)</w:t>
      </w:r>
    </w:p>
    <w:p>
      <w:pPr>
        <w:widowControl w:val="false"/>
        <w:spacing w:beforeAutospacing="true" w:afterAutospacing="true"/>
        <w:rPr>
          <w:rFonts w:cs="Arial"/>
        </w:rPr>
      </w:pPr>
      <w:r>
        <w:rPr>
          <w:rFonts w:cs="Arial"/>
        </w:rPr>
        <w:t xml:space="preserve">The city receives federal funds from HUD to conduct activities in compliance with the Office of Healthy Homes and Lead Hazard Control. In the City of Columbus, Lead Safe Columbus has the primary over-sight for the application of the Residential Lead Based Paint Hazard and Reduction Act of 1992. This policy applies to properties built before 1978 and in work areas where painted surfaces will be disturbed. Lead hazard control, lead education, outreach and research are the focus of the program. All city funded rehabilitation projects over $25,000 per unit must pass a lead assessment. The city recieved a 2019 Lead Harzards reduction grant to continue these efforts. </w:t>
      </w:r>
    </w:p>
    <w:p>
      <w:pPr>
        <w:widowControl w:val="false"/>
        <w:rPr>
          <w:b/>
          <w:sz w:val="24"/>
          <w:szCs w:val="24"/>
        </w:rPr>
      </w:pPr>
      <w:r>
        <w:rPr>
          <w:b/>
          <w:sz w:val="24"/>
          <w:szCs w:val="24"/>
        </w:rPr>
        <w:t>Actions taken to reduce the number of poverty-level families. 91.220(k); 91.320(j)</w:t>
      </w:r>
    </w:p>
    <w:p>
      <w:pPr>
        <w:widowControl w:val="false"/>
        <w:spacing w:beforeAutospacing="true" w:afterAutospacing="true"/>
        <w:rPr>
          <w:rFonts w:cs="Arial"/>
        </w:rPr>
      </w:pPr>
      <w:r>
        <w:rPr>
          <w:rFonts w:cs="Arial"/>
        </w:rPr>
        <w:t xml:space="preserve">The city continues to provide down payment assistance to low and moderate income first time homebuyers. In 2019, using a total of $250,460.88, 57 new homeowners received down payment assistance.  An additional $145,610.75 was provided to rehab 127 homes and $45,000 was spent to educate 1137 on homeowenrship.</w:t>
      </w:r>
    </w:p>
    <w:p>
      <w:pPr>
        <w:widowControl w:val="false"/>
        <w:spacing w:beforeAutospacing="true" w:afterAutospacing="true"/>
        <w:rPr>
          <w:rFonts w:cs="Arial"/>
        </w:rPr>
      </w:pPr>
      <w:r>
        <w:rPr>
          <w:rFonts w:cs="Arial"/>
        </w:rPr>
        <w:t xml:space="preserve">Further, city programming through Rec and Parks is collaborative with Youth Family Services which offers a paid summer youth program. The Capital Kids program predominantly targets poverty-level families. This program assists families with homework help, behavior diagnosis and redirection, mentorship, drug and violence prevention strategies, food and meal resources for families such as job and housing opportuities and overall health and wellness. The School's Out program continues to serve poverty-level familiies by assisting with meals, trauma informed care, redirection, mentorship, physical fitness, and overall health and wellness.</w:t>
      </w:r>
    </w:p>
    <w:p>
      <w:pPr>
        <w:widowControl w:val="false"/>
        <w:spacing w:beforeAutospacing="true" w:afterAutospacing="true"/>
        <w:rPr>
          <w:rFonts w:cs="Arial"/>
        </w:rPr>
      </w:pPr>
      <w:r>
        <w:rPr>
          <w:rFonts w:cs="Arial"/>
        </w:rPr>
        <w:t xml:space="preserve">In 20119, the City also completed a large scale restructuring of it's programming focused on small business development. The city is in the working stages of building new programming to related to this effort. </w:t>
      </w:r>
    </w:p>
    <w:p>
      <w:pPr>
        <w:widowControl w:val="false"/>
        <w:rPr>
          <w:b/>
          <w:sz w:val="24"/>
          <w:szCs w:val="24"/>
        </w:rPr>
      </w:pPr>
      <w:r>
        <w:rPr>
          <w:b/>
          <w:sz w:val="24"/>
          <w:szCs w:val="24"/>
        </w:rPr>
        <w:t>Actions taken to develop institutional structure. 91.220(k); 91.320(j)</w:t>
      </w:r>
    </w:p>
    <w:p>
      <w:pPr>
        <w:widowControl w:val="false"/>
        <w:spacing w:beforeAutospacing="true" w:afterAutospacing="true"/>
        <w:rPr>
          <w:rFonts w:cs="Arial"/>
        </w:rPr>
      </w:pPr>
      <w:r>
        <w:rPr>
          <w:rFonts w:cs="Arial"/>
        </w:rPr>
        <w:t xml:space="preserve">The City of Columbus provides operating support to Community Housing Development Organizations (CHDOs), through the Community Development (CD) Collaborative of Greater Columbus, to encourage sustained capacity of local CHDOs. The CD Collaborative of Greater Columbus is a non-profit organization that pools resources to provide operating grants and technical assistance to build the capacity of community based non-profit housing developers. The CD Collaborative Board is comprised of various lending institutions including United Way of Central Ohio, The Columbus Foundation, and the City of Columbus and Franklin County. Staff for the Collaborative is provided through a contractual relationship with the Affordable Housing Trust for Columbus and Franklin County. </w:t>
      </w:r>
    </w:p>
    <w:p>
      <w:pPr>
        <w:widowControl w:val="false"/>
        <w:spacing w:beforeAutospacing="true" w:afterAutospacing="true"/>
        <w:rPr>
          <w:rFonts w:cs="Arial"/>
        </w:rPr>
      </w:pPr>
      <w:r>
        <w:rPr>
          <w:rFonts w:cs="Arial"/>
        </w:rPr>
        <w:t xml:space="preserve">The Housing Division partners with local agencies and contractors to deliver services to the community in the areas of new rental housing, homeownership, owner-occupied housing rehabilitation, rental rehabilitation, construction of affordable homes and homebuyer education. In addition the city contracts with agencies that provide minor home repair services to the elderly and disabled as well as the Columbus Urban League to provide fair housing services to city residents.</w:t>
      </w:r>
    </w:p>
    <w:p>
      <w:pPr>
        <w:widowControl w:val="false"/>
        <w:spacing w:beforeAutospacing="true" w:afterAutospacing="true"/>
        <w:rPr>
          <w:rFonts w:cs="Arial"/>
        </w:rPr>
      </w:pPr>
      <w:r>
        <w:rPr>
          <w:rFonts w:cs="Arial"/>
        </w:rPr>
        <w:t xml:space="preserve">Rec &amp; Parks staff ensure that class sessions are instructed by a qualified instructor. Classes are advertised through social media and program guides are distributed throughout the city. </w:t>
      </w:r>
    </w:p>
    <w:p>
      <w:pPr>
        <w:widowControl w:val="false"/>
        <w:spacing w:beforeAutospacing="true" w:afterAutospacing="true"/>
        <w:rPr>
          <w:rFonts w:cs="Arial"/>
        </w:rPr>
      </w:pPr>
      <w:r>
        <w:rPr>
          <w:rFonts w:cs="Arial"/>
        </w:rPr>
        <w:t xml:space="preserve">Grants Management spear headed efforts to increase the capacity of City staff involved with HUD funding throughout 2019. This included hosting training from The National Community Development Association, as well as creating a bimonthly working group to better track progress of CDBG funded programming. As part of the Consolidated Planning process, Grants Management Facilitated a SWOT analysis with 4 other city departments to identify weaknesses in the program as currently structured. Significant changes are in the works for the 2020-2024 Consolidated plan years to build the city's internal capacity. </w:t>
      </w:r>
    </w:p>
    <w:p>
      <w:pPr>
        <w:widowControl w:val="false"/>
        <w:rPr>
          <w:b/>
          <w:sz w:val="24"/>
          <w:szCs w:val="24"/>
        </w:rPr>
      </w:pPr>
      <w:r>
        <w:rPr>
          <w:b/>
          <w:sz w:val="24"/>
          <w:szCs w:val="24"/>
        </w:rPr>
        <w:t>Actions taken to enhance coordination between public and private housing and social service agencies. 91.220(k); 91.320(j)</w:t>
      </w:r>
    </w:p>
    <w:p>
      <w:pPr>
        <w:widowControl w:val="false"/>
        <w:spacing w:beforeAutospacing="true" w:afterAutospacing="true"/>
        <w:rPr>
          <w:rFonts w:cs="Arial"/>
        </w:rPr>
      </w:pPr>
      <w:r>
        <w:rPr>
          <w:rFonts w:cs="Arial"/>
        </w:rPr>
        <w:t xml:space="preserve">The city is actively engaged with the Columbus Metropolitan Housing Authority in the redevelopment of Poindexter Village which has received a Choice Neighborhoods grant. Activities include the redevelopment of infrastructure, funding for new multifamily units and homeownership opportunities adjacent to the development. Local housing nonprofits have joined together to form the Columbus Housing Alliance. The Alliance is exploring new ways and new funding sources for affordable housing development.</w:t>
      </w:r>
    </w:p>
    <w:p>
      <w:pPr>
        <w:widowControl w:val="false"/>
        <w:spacing w:beforeAutospacing="true" w:afterAutospacing="true"/>
        <w:rPr>
          <w:rFonts w:cs="Arial"/>
        </w:rPr>
      </w:pPr>
      <w:r>
        <w:rPr>
          <w:rFonts w:cs="Arial"/>
        </w:rPr>
        <w:t xml:space="preserve"> </w:t>
      </w:r>
    </w:p>
    <w:p>
      <w:pPr>
        <w:widowControl w:val="false"/>
        <w:spacing w:beforeAutospacing="true" w:afterAutospacing="true"/>
        <w:rPr>
          <w:rFonts w:cs="Arial"/>
        </w:rPr>
      </w:pPr>
      <w:r>
        <w:rPr>
          <w:rFonts w:cs="Arial"/>
        </w:rPr>
        <w:t xml:space="preserve">Further, with regard to Rec &amp; Parks partners with Nationwide Children's Hospital for behavioral health services to families and consultation for City staff for various programs. Additionally, the department attends community meetings to ensure information is shared with housing developments and surrounding communities, and partners with CColumbus Public Health to support the distribution of cribs, child immunizations, and adult healthy living programs. </w:t>
      </w:r>
    </w:p>
    <w:p>
      <w:pPr>
        <w:widowControl w:val="false"/>
        <w:spacing w:beforeAutospacing="true" w:afterAutospacing="true"/>
        <w:rPr>
          <w:rFonts w:cs="Arial"/>
        </w:rPr>
      </w:pPr>
      <w:r>
        <w:rPr>
          <w:rFonts w:cs="Arial"/>
        </w:rPr>
        <w:t xml:space="preserve">o   We attend community meetings to ensure information is shared with housing developments and surrounding communities.</w:t>
      </w:r>
    </w:p>
    <w:p>
      <w:pPr>
        <w:widowControl w:val="false"/>
        <w:spacing w:beforeAutospacing="true" w:afterAutospacing="true"/>
        <w:rPr>
          <w:rFonts w:cs="Arial"/>
        </w:rPr>
      </w:pPr>
      <w:r>
        <w:rPr>
          <w:rFonts w:cs="Arial"/>
        </w:rPr>
        <w:t xml:space="preserve">We also partner with Columbus Public Health to support distribution of cribs, child immunization and adult healthy living programs</w:t>
      </w:r>
    </w:p>
    <w:p>
      <w:pPr>
        <w:widowControl w:val="false"/>
        <w:rPr>
          <w:b/>
          <w:sz w:val="24"/>
          <w:szCs w:val="24"/>
        </w:rPr>
      </w:pPr>
      <w:r>
        <w:rPr>
          <w:b/>
          <w:sz w:val="24"/>
          <w:szCs w:val="24"/>
        </w:rPr>
        <w:t>Identify actions taken to overcome the effects of any impediments identified in the jurisdictions analysis of impediments to fair housing choice.  91.520(a)</w:t>
      </w:r>
    </w:p>
    <w:p>
      <w:pPr>
        <w:widowControl w:val="false"/>
        <w:spacing w:beforeAutospacing="true" w:afterAutospacing="true"/>
        <w:rPr>
          <w:rFonts w:cs="Arial"/>
        </w:rPr>
      </w:pPr>
      <w:r>
        <w:rPr>
          <w:rFonts w:cs="Arial"/>
        </w:rPr>
        <w:t xml:space="preserve">The City of Columbus continued to work with housing providers to develop quality housing in all areas of the city. Funds were provided for administrative costs to the Columbus Urban League (CUL) to enable them to provide fair housing services to the residents of the city. These services include increasing the awareness of fair housing issues, fair housing barrier elimination, housing discrimination redress and implementation of the Fair Housing Action Plan. The CUL provides fair housing education and training, investigates all alleged housing discrimination complaints, coordinates and conducts housing discrimination testing sets and affirmative marketing monitoring visits on HOME and other projects, conducts homebuyer and homeownership education classes and advertising promotions/campaigns in order to reach protected groups.</w:t>
      </w:r>
    </w:p>
    <w:p>
      <w:pPr>
        <w:widowControl w:val="false"/>
        <w:spacing w:beforeAutospacing="true" w:afterAutospacing="true"/>
        <w:rPr>
          <w:rFonts w:cs="Arial"/>
        </w:rPr>
      </w:pPr>
      <w:r>
        <w:rPr>
          <w:rFonts w:cs="Arial"/>
        </w:rPr>
        <w:t xml:space="preserve">Rec &amp; Parks ensures all facilities are open to all. If a translator is required, one is provided. There is an equal opportunity to participate in classes, special events, and programs. All of the four School's Out sites, located on the southeast, west, near east, and north sides of Columbus, addressed issues of equal opportunity by continuing to spread services to multiple areas in need of affordable camps within the city</w:t>
      </w:r>
      <w:r>
        <w:rPr>
          <w:rFonts w:cs="Arial"/>
          <w:b/>
        </w:rPr>
        <w:t xml:space="preserve">. </w:t>
      </w:r>
      <w:r>
        <w:rPr>
          <w:rFonts w:cs="Arial"/>
        </w:rPr>
        <w:t xml:space="preserve">One of the Capital Kids sites is located within walking distance of a homeless shelter.  The program has provided resources and services for a few of these parents and children to help move them beyond homelessness.  </w:t>
      </w:r>
    </w:p>
    <w:p>
      <w:pPr>
        <w:pStyle w:val="Heading2"/>
        <w:pageBreakBefore/>
        <w:widowControl w:val="false"/>
        <w:rPr>
          <w:rFonts w:ascii="Calibri" w:hAnsi="Calibri"/>
          <w:i w:val="false"/>
        </w:rPr>
      </w:pPr>
      <w:r>
        <w:rPr>
          <w:rFonts w:ascii="Calibri" w:hAnsi="Calibri"/>
          <w:i w:val="false"/>
        </w:rPr>
        <w:t>CR-40 - Monitoring 91.220 and 91.230</w:t>
      </w:r>
    </w:p>
    <w:p>
      <w:pPr>
        <w:widowControl w:val="false"/>
        <w:rPr>
          <w:b/>
          <w:sz w:val="24"/>
          <w:szCs w:val="24"/>
        </w:rPr>
      </w:pPr>
      <w:r>
        <w:rPr>
          <w:b/>
          <w:sz w:val="24"/>
          <w:szCs w:val="24"/>
        </w:rPr>
        <w:t>Describe the standards and procedures used to monitor activities carried out in furtherance of the plan and used to ensure long-term compliance with requirements of the programs involved, including minority business outreach and the comprehensive planning requirements</w:t>
      </w:r>
    </w:p>
    <w:p>
      <w:pPr>
        <w:spacing w:after="0" w:line="240" w:lineRule="auto"/>
      </w:pPr>
    </w:p>
    <w:p>
      <w:pPr>
        <w:widowControl w:val="false"/>
        <w:spacing w:beforeAutospacing="true" w:afterAutospacing="true"/>
        <w:rPr>
          <w:rFonts w:cs="Arial"/>
        </w:rPr>
      </w:pPr>
      <w:r>
        <w:rPr>
          <w:rFonts w:cs="Arial"/>
        </w:rPr>
        <w:t xml:space="preserve">As required by the HOME regulations, all HOME rental projects are monitored annually, based on the number of assisted units. There are mortgages and restrictive covenants filed on all homebuyer activities. Any change in title requires notification to the city. </w:t>
      </w:r>
    </w:p>
    <w:p>
      <w:pPr>
        <w:widowControl w:val="false"/>
        <w:spacing w:beforeAutospacing="true" w:afterAutospacing="true"/>
        <w:rPr>
          <w:rFonts w:cs="Arial"/>
        </w:rPr>
      </w:pPr>
      <w:r>
        <w:rPr>
          <w:rFonts w:cs="Arial"/>
        </w:rPr>
        <w:t xml:space="preserve">Rec &amp; Parks program director holds staff meetings with site directors and also makes several visits per month to the sites to assure compliance and build community relations. </w:t>
      </w:r>
    </w:p>
    <w:p>
      <w:pPr>
        <w:widowControl w:val="false"/>
        <w:spacing w:beforeAutospacing="true" w:afterAutospacing="true"/>
        <w:rPr>
          <w:rFonts w:cs="Arial"/>
        </w:rPr>
      </w:pPr>
      <w:r>
        <w:rPr>
          <w:rFonts w:cs="Arial"/>
        </w:rPr>
        <w:t xml:space="preserve">For the HOPWA program, the Department of Health monitors each subrecipient at least once per year. </w:t>
      </w:r>
    </w:p>
    <w:p>
      <w:pPr>
        <w:widowControl w:val="false"/>
        <w:spacing w:beforeAutospacing="true" w:afterAutospacing="true"/>
        <w:rPr>
          <w:rFonts w:cs="Arial"/>
        </w:rPr>
      </w:pPr>
      <w:r>
        <w:rPr>
          <w:rFonts w:cs="Arial"/>
        </w:rPr>
        <w:t xml:space="preserve">Grants Management staff monitor both city staff and subrecipients of all four programs based on an internal risk assement. In addition, Grants Management periodically reviews invoices and other expenditures to ensure compliance with Uniform Guidance and Grants Based accounting.  </w:t>
      </w:r>
    </w:p>
    <w:p>
      <w:pPr>
        <w:widowControl w:val="false"/>
        <w:rPr>
          <w:b/>
          <w:sz w:val="24"/>
          <w:szCs w:val="24"/>
        </w:rPr>
      </w:pPr>
    </w:p>
    <w:p>
      <w:pPr>
        <w:widowControl w:val="false"/>
        <w:rPr>
          <w:rFonts w:cs="Arial"/>
        </w:rPr>
      </w:pPr>
    </w:p>
    <w:p>
      <w:pPr>
        <w:widowControl w:val="false"/>
        <w:rPr>
          <w:rFonts w:cs="Arial"/>
        </w:rPr>
      </w:pPr>
    </w:p>
    <w:p>
      <w:pPr>
        <w:widowControl w:val="false"/>
        <w:rPr>
          <w:b/>
          <w:sz w:val="24"/>
          <w:szCs w:val="24"/>
        </w:rPr>
      </w:pPr>
      <w:r>
        <w:rPr>
          <w:b/>
          <w:sz w:val="24"/>
          <w:szCs w:val="24"/>
        </w:rPr>
        <w:t>Citizen Participation Plan 91.105(d); 91.115(d)</w:t>
      </w:r>
    </w:p>
    <w:p>
      <w:pPr>
        <w:widowControl w:val="false"/>
        <w:rPr>
          <w:sz w:val="24"/>
          <w:szCs w:val="24"/>
        </w:rPr>
      </w:pPr>
      <w:r>
        <w:rPr>
          <w:b/>
          <w:sz w:val="24"/>
          <w:szCs w:val="24"/>
        </w:rPr>
        <w:t>Describe the efforts to provide citizens with reasonable notice and an opportunity to comment on performance reports</w:t>
      </w:r>
      <w:r>
        <w:rPr>
          <w:sz w:val="24"/>
          <w:szCs w:val="24"/>
        </w:rPr>
        <w:t>.</w:t>
      </w:r>
    </w:p>
    <w:p>
      <w:pPr>
        <w:spacing w:beforeAutospacing="true" w:afterAutospacing="true"/>
      </w:pPr>
      <w:r>
        <w:rPr/>
        <w:t xml:space="preserve">Each year a draft of the CAPER is posted on the Grants Management website for citizen review. In addition, the City takes out a legal ad in the Dispatch to ensure citizens are aware that the CAPER is out for public comment. This year we did not recieve any comments. </w:t>
      </w:r>
    </w:p>
    <w:p>
      <w:pPr>
        <w:keepNext/>
        <w:pageBreakBefore/>
        <w:widowControl w:val="false"/>
        <w:spacing w:before="240" w:after="60"/>
        <w:outlineLvl w:val="1"/>
        <w:rPr>
          <w:rFonts w:cs="Arial"/>
          <w:b/>
          <w:bCs/>
          <w:iCs/>
          <w:sz w:val="28"/>
          <w:szCs w:val="28"/>
        </w:rPr>
      </w:pPr>
      <w:r>
        <w:rPr>
          <w:rFonts w:cs="Arial"/>
          <w:b/>
          <w:bCs/>
          <w:iCs/>
          <w:sz w:val="28"/>
          <w:szCs w:val="28"/>
        </w:rPr>
        <w:t>CR-45 - CDBG 91.520(c)</w:t>
      </w:r>
    </w:p>
    <w:p>
      <w:pPr>
        <w:widowControl w:val="false"/>
        <w:rPr>
          <w:b/>
          <w:sz w:val="24"/>
          <w:szCs w:val="24"/>
        </w:rPr>
      </w:pPr>
      <w:r>
        <w:rPr>
          <w:b/>
          <w:sz w:val="24"/>
          <w:szCs w:val="24"/>
        </w:rPr>
        <w:t>Specify the nature of, and reasons for, any changes in the jurisdiction’s program objectives and indications of how the jurisdiction would change its programs as a result of its experiences.</w:t>
      </w:r>
    </w:p>
    <w:p>
      <w:pPr>
        <w:widowControl w:val="false"/>
        <w:spacing w:beforeAutospacing="true" w:afterAutospacing="true"/>
        <w:rPr>
          <w:rFonts w:cs="Arial"/>
        </w:rPr>
      </w:pPr>
      <w:r>
        <w:rPr>
          <w:rFonts w:cs="Arial"/>
        </w:rPr>
        <w:t xml:space="preserve">The City of COlumbus has spent the last 4 program years revualuating the effectiveness and appropriateness of it's CDBG program. As such, the last four Action Plans have seen a lot of changes, with new programs added and long standing programs moved onto other funding sources. The City plans to continue these efforts to improve CDBG into 2020. </w:t>
      </w:r>
    </w:p>
    <w:p>
      <w:pPr>
        <w:widowControl w:val="false"/>
        <w:rPr>
          <w:b/>
          <w:sz w:val="24"/>
          <w:szCs w:val="24"/>
        </w:rPr>
      </w:pPr>
      <w:r>
        <w:rPr>
          <w:b/>
          <w:sz w:val="24"/>
          <w:szCs w:val="24"/>
        </w:rPr>
        <w:t>Does this Jurisdiction have any open Brownfields Economic Development Initiative (BEDI) grants?</w:t>
      </w:r>
    </w:p>
    <w:p>
      <w:pPr>
        <w:widowControl w:val="false"/>
        <w:spacing w:beforeAutospacing="true" w:afterAutospacing="true"/>
        <w:rPr>
          <w:rFonts w:cs="Arial"/>
        </w:rPr>
      </w:pPr>
      <w:r>
        <w:rPr>
          <w:rFonts w:cs="Arial"/>
        </w:rPr>
        <w:t xml:space="preserve">No</w:t>
      </w:r>
    </w:p>
    <w:p>
      <w:pPr>
        <w:widowControl w:val="false"/>
        <w:rPr>
          <w:b/>
          <w:sz w:val="24"/>
          <w:szCs w:val="24"/>
        </w:rPr>
      </w:pPr>
      <w:r>
        <w:rPr>
          <w:b/>
          <w:sz w:val="24"/>
          <w:szCs w:val="24"/>
        </w:rPr>
        <w:t>[BEDI grantees]  Describe accomplishments and program outcomes during the last year.</w:t>
      </w:r>
    </w:p>
    <w:p>
      <w:pPr>
        <w:widowControl w:val="false"/>
        <w:rPr>
          <w:rFonts w:cs="Arial"/>
        </w:rPr>
      </w:pPr>
      <w:r>
        <w:rPr>
          <w:rFonts w:cs="Arial"/>
        </w:rPr>
      </w:r>
    </w:p>
    <w:p/>
    <w:p/>
    <w:p>
      <w:pPr>
        <w:pStyle w:val="Heading2"/>
        <w:pageBreakBefore/>
        <w:widowControl w:val="false"/>
        <w:rPr>
          <w:rFonts w:ascii="Calibri" w:hAnsi="Calibri"/>
          <w:i w:val="false"/>
        </w:rPr>
      </w:pPr>
      <w:r>
        <w:rPr>
          <w:rFonts w:ascii="Calibri" w:hAnsi="Calibri"/>
          <w:i w:val="false"/>
        </w:rPr>
        <w:t>CR-50 - HOME 24 CFR 91.520(d)</w:t>
      </w:r>
    </w:p>
    <w:p>
      <w:pPr>
        <w:widowControl w:val="false"/>
        <w:rPr>
          <w:b/>
          <w:sz w:val="24"/>
          <w:szCs w:val="24"/>
        </w:rPr>
      </w:pPr>
      <w:r>
        <w:rPr>
          <w:b/>
          <w:sz w:val="24"/>
          <w:szCs w:val="24"/>
        </w:rPr>
        <w:t xml:space="preserve">Include the results of on-site inspections of affordable rental housing assisted under the program to determine compliance with housing codes and other applicable regulations </w:t>
      </w:r>
    </w:p>
    <w:p>
      <w:pPr>
        <w:widowControl w:val="false"/>
        <w:rPr>
          <w:sz w:val="24"/>
          <w:szCs w:val="24"/>
        </w:rPr>
      </w:pPr>
      <w:r>
        <w:rPr>
          <w:sz w:val="24"/>
          <w:szCs w:val="24"/>
        </w:rPr>
        <w:t>Please list those projects that should have been inspected on-site this program year based upon the schedule in 24 CFR §92.504(d). Indicate which of these were inspected and a summary of issues that were detected during the inspection. For those that were not inspected, please indicate the reason and how you will remedy the situation.</w:t>
      </w:r>
    </w:p>
    <w:p>
      <w:pPr>
        <w:widowControl w:val="false"/>
        <w:spacing w:beforeAutospacing="true" w:afterAutospacing="true"/>
        <w:rPr>
          <w:rFonts w:cs="Arial"/>
        </w:rPr>
      </w:pPr>
      <w:r>
        <w:rPr>
          <w:rFonts w:cs="Arial"/>
        </w:rPr>
        <w:t xml:space="preserve">On-site inspections were completed on affordable rental housing projects. Property management is responsible for non-emergency compliance to be completed within 30 days. For each non-compliance issue noted, all property owners corrected the items within the compliance deadline. A compliance file review revealed inclusion of undated documents and missing current tenant income calculation forms. Again, non-compliance issues were corrected within the compliance deadline.</w:t>
      </w:r>
    </w:p>
    <w:p>
      <w:pPr>
        <w:widowControl w:val="false"/>
        <w:spacing w:beforeAutospacing="true" w:afterAutospacing="true"/>
        <w:rPr>
          <w:rFonts w:cs="Arial"/>
        </w:rPr>
      </w:pPr>
      <w:r>
        <w:rPr>
          <w:rFonts w:cs="Arial"/>
        </w:rPr>
        <w:t xml:space="preserve">Below is a list of properties inspected in 2019, listed by month.</w:t>
      </w:r>
      <w:r>
        <w:rPr>
          <w:rFonts w:cs="Arial"/>
        </w:rPr>
        <w:br/>
        <w:t xml:space="preserve"/>
      </w:r>
    </w:p>
    <w:p>
      <w:pPr>
        <w:widowControl w:val="false"/>
        <w:spacing w:beforeAutospacing="true" w:afterAutospacing="true"/>
        <w:rPr>
          <w:rFonts w:cs="Arial"/>
        </w:rPr>
      </w:pPr>
      <w:r>
        <w:rPr>
          <w:rFonts w:cs="Arial"/>
        </w:rPr>
        <w:t xml:space="preserve">January- Ottawa Senior</w:t>
      </w:r>
      <w:r>
        <w:rPr>
          <w:rFonts w:cs="Arial"/>
          <w:b/>
          <w:u w:val="single"/>
        </w:rPr>
        <w:br/>
        <w:t xml:space="preserve"/>
      </w:r>
    </w:p>
    <w:p>
      <w:pPr>
        <w:widowControl w:val="false"/>
        <w:spacing w:beforeAutospacing="true" w:afterAutospacing="true"/>
        <w:rPr>
          <w:rFonts w:cs="Arial"/>
        </w:rPr>
      </w:pPr>
      <w:r>
        <w:rPr>
          <w:rFonts w:cs="Arial"/>
        </w:rPr>
        <w:t xml:space="preserve">February- Briggsdale I &amp; II, Southpoint, Laurel Green, Dogwood, Hilltop Senior I &amp; II </w:t>
      </w:r>
    </w:p>
    <w:p>
      <w:pPr>
        <w:widowControl w:val="false"/>
        <w:spacing w:beforeAutospacing="true" w:afterAutospacing="true"/>
        <w:rPr>
          <w:rFonts w:cs="Arial"/>
        </w:rPr>
      </w:pPr>
      <w:r>
        <w:rPr>
          <w:rFonts w:cs="Arial"/>
        </w:rPr>
        <w:t xml:space="preserve">â¿¿March- Hawthorne Village, Inglewood, CHN West, CHN Terrace, CHN Jefferson, CHN Far North</w:t>
      </w:r>
      <w:r>
        <w:rPr>
          <w:rFonts w:cs="Arial"/>
          <w:b/>
          <w:u w:val="single"/>
        </w:rPr>
        <w:br/>
        <w:t xml:space="preserve"/>
      </w:r>
    </w:p>
    <w:p>
      <w:pPr>
        <w:widowControl w:val="false"/>
        <w:spacing w:beforeAutospacing="true" w:afterAutospacing="true"/>
        <w:rPr>
          <w:rFonts w:cs="Arial"/>
        </w:rPr>
      </w:pPr>
      <w:r>
        <w:rPr>
          <w:rFonts w:cs="Arial"/>
        </w:rPr>
        <w:t xml:space="preserve">â¿¿April- Cityview, Fieldstone, Franklinton Senior, Columbus Elderly II, Trabue Crossing, Career Gateway, Weinland Park, Mariemont, Greater Linden</w:t>
      </w:r>
      <w:r>
        <w:rPr>
          <w:rFonts w:cs="Arial"/>
        </w:rPr>
        <w:t xml:space="preserve"> </w:t>
      </w:r>
    </w:p>
    <w:p>
      <w:pPr>
        <w:widowControl w:val="false"/>
        <w:spacing w:beforeAutospacing="true" w:afterAutospacing="true"/>
        <w:rPr>
          <w:rFonts w:cs="Arial"/>
        </w:rPr>
      </w:pPr>
      <w:r>
        <w:rPr>
          <w:rFonts w:cs="Arial"/>
        </w:rPr>
        <w:t xml:space="preserve">May- Fairview, Joyce Homes, Kingsford, CHN Holt Rd., CHN University District, CHN East, Milo Grogan, Elim Homes</w:t>
      </w:r>
      <w:r>
        <w:rPr>
          <w:rFonts w:cs="Arial"/>
          <w:b/>
          <w:u w:val="single"/>
        </w:rPr>
        <w:br/>
        <w:t xml:space="preserve"/>
      </w:r>
    </w:p>
    <w:p>
      <w:pPr>
        <w:widowControl w:val="false"/>
        <w:spacing w:beforeAutospacing="true" w:afterAutospacing="true"/>
        <w:rPr>
          <w:rFonts w:cs="Arial"/>
        </w:rPr>
      </w:pPr>
      <w:r>
        <w:rPr>
          <w:rFonts w:cs="Arial"/>
        </w:rPr>
        <w:t xml:space="preserve"> </w:t>
      </w:r>
      <w:r>
        <w:rPr>
          <w:rFonts w:cs="Arial"/>
        </w:rPr>
        <w:t xml:space="preserve">June- Marsh Run, Pheasant Run, Waterford, North Hamilton Senior, Providence Glen </w:t>
      </w:r>
      <w:r>
        <w:rPr>
          <w:rFonts w:cs="Arial"/>
        </w:rPr>
        <w:t xml:space="preserve"> </w:t>
      </w:r>
    </w:p>
    <w:p>
      <w:pPr>
        <w:widowControl w:val="false"/>
        <w:spacing w:beforeAutospacing="true" w:afterAutospacing="true"/>
        <w:rPr>
          <w:rFonts w:cs="Arial"/>
        </w:rPr>
      </w:pPr>
      <w:r>
        <w:rPr>
          <w:rFonts w:cs="Arial"/>
        </w:rPr>
        <w:t xml:space="preserve">August- Scholar House, Hilltop Homes I &amp; II, Monarch Green </w:t>
      </w:r>
    </w:p>
    <w:p>
      <w:pPr>
        <w:widowControl w:val="false"/>
        <w:spacing w:beforeAutospacing="true" w:afterAutospacing="true"/>
        <w:rPr>
          <w:rFonts w:cs="Arial"/>
        </w:rPr>
      </w:pPr>
      <w:r>
        <w:rPr>
          <w:rFonts w:cs="Arial"/>
        </w:rPr>
        <w:t xml:space="preserve">September- Van Buren, Mapleside, Level Green, Victorian Heritage</w:t>
      </w:r>
      <w:r>
        <w:rPr>
          <w:rFonts w:cs="Arial"/>
        </w:rPr>
        <w:br/>
        <w:t xml:space="preserve"/>
      </w:r>
    </w:p>
    <w:p>
      <w:pPr>
        <w:widowControl w:val="false"/>
        <w:spacing w:beforeAutospacing="true" w:afterAutospacing="true"/>
        <w:rPr>
          <w:rFonts w:cs="Arial"/>
        </w:rPr>
      </w:pPr>
      <w:r>
        <w:rPr>
          <w:rFonts w:cs="Arial"/>
        </w:rPr>
        <w:t xml:space="preserve">October- Commons at Chantry, Chestnut Senior, Poindexter Senior, Poindexter II, The Whitney, Riverlodge II &amp; III, HHNF,  Fairwood Commons, Stratford Senior, Columbus Elderly I, Parsons Senior, Hegemon Senior</w:t>
      </w:r>
    </w:p>
    <w:p>
      <w:pPr>
        <w:widowControl w:val="false"/>
        <w:spacing w:beforeAutospacing="true" w:afterAutospacing="true"/>
        <w:rPr>
          <w:rFonts w:cs="Arial"/>
        </w:rPr>
      </w:pPr>
      <w:r>
        <w:rPr>
          <w:rFonts w:cs="Arial"/>
        </w:rPr>
        <w:t xml:space="preserve">November- Commons at Livingston I &amp; II, Commons at Grant, Commons at Buckingham, Corban Commons, Homes on the Hill</w:t>
      </w:r>
    </w:p>
    <w:p>
      <w:pPr>
        <w:widowControl w:val="false"/>
        <w:spacing w:beforeAutospacing="true" w:afterAutospacing="true"/>
        <w:rPr>
          <w:rFonts w:cs="Arial"/>
        </w:rPr>
      </w:pPr>
      <w:r>
        <w:rPr>
          <w:rFonts w:cs="Arial"/>
        </w:rPr>
        <w:t xml:space="preserve">â¿¿December- YMCA</w:t>
      </w:r>
      <w:r>
        <w:rPr>
          <w:rFonts w:cs="Arial"/>
          <w:b/>
          <w:u w:val="single"/>
        </w:rPr>
        <w:br/>
        <w:t xml:space="preserve"/>
      </w:r>
    </w:p>
    <w:p>
      <w:pPr>
        <w:widowControl w:val="false"/>
        <w:rPr>
          <w:b/>
          <w:sz w:val="24"/>
          <w:szCs w:val="24"/>
        </w:rPr>
      </w:pPr>
      <w:r>
        <w:rPr>
          <w:b/>
          <w:sz w:val="24"/>
          <w:szCs w:val="24"/>
        </w:rPr>
        <w:t>Provide an assessment of the jurisdiction's affirmative marketing actions for HOME units. 24 CFR 91.520(e) and 24 CFR 92.351(a)</w:t>
      </w:r>
    </w:p>
    <w:p>
      <w:pPr>
        <w:widowControl w:val="false"/>
        <w:spacing w:beforeAutospacing="true" w:afterAutospacing="true"/>
        <w:rPr>
          <w:rFonts w:cs="Arial"/>
        </w:rPr>
      </w:pPr>
      <w:r>
        <w:rPr>
          <w:rFonts w:cs="Arial"/>
          <w:b/>
        </w:rPr>
        <w:t xml:space="preserve"> </w:t>
      </w:r>
    </w:p>
    <w:p>
      <w:pPr>
        <w:widowControl w:val="false"/>
        <w:spacing w:beforeAutospacing="true" w:afterAutospacing="true"/>
        <w:rPr>
          <w:rFonts w:cs="Arial"/>
        </w:rPr>
      </w:pPr>
      <w:r>
        <w:rPr>
          <w:rFonts w:cs="Arial"/>
        </w:rPr>
        <w:t xml:space="preserve">The goal of the City of Columbus, Department of Development, Housing Division has as a goal to affirmatively further fair housing.  This goal includes</w:t>
      </w:r>
    </w:p>
    <w:p>
      <w:pPr>
        <w:widowControl w:val="false"/>
        <w:numPr>
          <w:ilvl w:val="0"/>
          <w:numId w:val="3"/>
        </w:numPr>
        <w:spacing w:beforeAutospacing="true" w:afterAutospacing="true"/>
        <w:rPr>
          <w:rFonts w:cs="Arial"/>
        </w:rPr>
      </w:pPr>
      <w:r>
        <w:rPr>
          <w:rFonts w:cs="Arial"/>
        </w:rPr>
        <w:t xml:space="preserve">Not tolerating any housing discrimination in the city.</w:t>
      </w:r>
    </w:p>
    <w:p>
      <w:pPr>
        <w:widowControl w:val="false"/>
        <w:numPr>
          <w:ilvl w:val="0"/>
          <w:numId w:val="3"/>
        </w:numPr>
        <w:spacing w:beforeAutospacing="true" w:afterAutospacing="true"/>
        <w:rPr>
          <w:rFonts w:cs="Arial"/>
        </w:rPr>
      </w:pPr>
      <w:r>
        <w:rPr>
          <w:rFonts w:cs="Arial"/>
        </w:rPr>
        <w:t xml:space="preserve">Promoting fair housing choice for all persons.</w:t>
      </w:r>
    </w:p>
    <w:p>
      <w:pPr>
        <w:widowControl w:val="false"/>
        <w:numPr>
          <w:ilvl w:val="0"/>
          <w:numId w:val="3"/>
        </w:numPr>
        <w:spacing w:beforeAutospacing="true" w:afterAutospacing="true"/>
        <w:rPr>
          <w:rFonts w:cs="Arial"/>
        </w:rPr>
      </w:pPr>
      <w:r>
        <w:rPr>
          <w:rFonts w:cs="Arial"/>
        </w:rPr>
        <w:t xml:space="preserve">Providing opportunities for inclusive patterns of housing occupancy regardless of race, color, religion, sex, familial status, disability and national origin.</w:t>
      </w:r>
    </w:p>
    <w:p>
      <w:pPr>
        <w:widowControl w:val="false"/>
        <w:numPr>
          <w:ilvl w:val="0"/>
          <w:numId w:val="3"/>
        </w:numPr>
        <w:spacing w:beforeAutospacing="true" w:afterAutospacing="true"/>
        <w:rPr>
          <w:rFonts w:cs="Arial"/>
        </w:rPr>
      </w:pPr>
      <w:r>
        <w:rPr>
          <w:rFonts w:cs="Arial"/>
        </w:rPr>
        <w:t xml:space="preserve">Promoting housing that is structurally accessible to, and usable by, all persons, particularly those with disabilities.</w:t>
      </w:r>
    </w:p>
    <w:p>
      <w:pPr>
        <w:widowControl w:val="false"/>
        <w:numPr>
          <w:ilvl w:val="0"/>
          <w:numId w:val="3"/>
        </w:numPr>
        <w:spacing w:beforeAutospacing="true" w:afterAutospacing="true"/>
        <w:rPr>
          <w:rFonts w:cs="Arial"/>
        </w:rPr>
      </w:pPr>
      <w:r>
        <w:rPr>
          <w:rFonts w:cs="Arial"/>
        </w:rPr>
        <w:t xml:space="preserve">Fostering compliance with the nondiscrimination provisions of the Fair Housing Act.</w:t>
      </w:r>
    </w:p>
    <w:p>
      <w:pPr>
        <w:widowControl w:val="false"/>
        <w:spacing w:beforeAutospacing="true" w:afterAutospacing="true"/>
        <w:rPr>
          <w:rFonts w:cs="Arial"/>
        </w:rPr>
      </w:pPr>
      <w:r>
        <w:rPr>
          <w:rFonts w:cs="Arial"/>
        </w:rPr>
        <w:t xml:space="preserve">These goals are implemented through the City’s HOME program as follows:</w:t>
      </w:r>
    </w:p>
    <w:p>
      <w:pPr>
        <w:widowControl w:val="false"/>
        <w:spacing w:beforeAutospacing="true" w:afterAutospacing="true"/>
        <w:rPr>
          <w:rFonts w:cs="Arial"/>
        </w:rPr>
      </w:pPr>
      <w:r>
        <w:rPr>
          <w:rFonts w:cs="Arial"/>
          <w:b/>
        </w:rPr>
        <w:t xml:space="preserve"> </w:t>
      </w:r>
    </w:p>
    <w:p>
      <w:pPr>
        <w:widowControl w:val="false"/>
        <w:spacing w:beforeAutospacing="true" w:afterAutospacing="true"/>
        <w:rPr>
          <w:rFonts w:cs="Arial"/>
        </w:rPr>
      </w:pPr>
      <w:r>
        <w:rPr>
          <w:rFonts w:cs="Arial"/>
          <w:b/>
        </w:rPr>
        <w:t xml:space="preserve">Rental Housing          </w:t>
      </w:r>
    </w:p>
    <w:p>
      <w:pPr>
        <w:widowControl w:val="false"/>
        <w:spacing w:beforeAutospacing="true" w:afterAutospacing="true"/>
        <w:rPr>
          <w:rFonts w:cs="Arial"/>
        </w:rPr>
      </w:pPr>
      <w:r>
        <w:rPr>
          <w:rFonts w:cs="Arial"/>
        </w:rPr>
        <w:t xml:space="preserve">            </w:t>
      </w:r>
      <w:r>
        <w:rPr>
          <w:rFonts w:cs="Arial"/>
          <w:b/>
        </w:rPr>
        <w:t xml:space="preserve">Pre-Application</w:t>
      </w:r>
    </w:p>
    <w:p>
      <w:pPr>
        <w:widowControl w:val="false"/>
        <w:spacing w:beforeAutospacing="true" w:afterAutospacing="true"/>
        <w:rPr>
          <w:rFonts w:cs="Arial"/>
        </w:rPr>
      </w:pPr>
      <w:r>
        <w:rPr>
          <w:rFonts w:cs="Arial"/>
        </w:rPr>
        <w:t xml:space="preserve">All pre-application submissions for support letters for LIHTC, Federal Home Loan Bank and other sources must have an affirmative fair housing marketing plan submitted as part of the pre-application.  The submission will be reviewed by staff for compliance and reasonableness.</w:t>
      </w:r>
    </w:p>
    <w:p>
      <w:pPr>
        <w:widowControl w:val="false"/>
        <w:spacing w:beforeAutospacing="true" w:afterAutospacing="true"/>
        <w:rPr>
          <w:rFonts w:cs="Arial"/>
        </w:rPr>
      </w:pPr>
      <w:r>
        <w:rPr>
          <w:rFonts w:cs="Arial"/>
          <w:b/>
        </w:rPr>
        <w:t xml:space="preserve">Formal Application</w:t>
      </w:r>
    </w:p>
    <w:p>
      <w:pPr>
        <w:widowControl w:val="false"/>
        <w:spacing w:beforeAutospacing="true" w:afterAutospacing="true"/>
        <w:rPr>
          <w:rFonts w:cs="Arial"/>
        </w:rPr>
      </w:pPr>
      <w:r>
        <w:rPr>
          <w:rFonts w:cs="Arial"/>
        </w:rPr>
        <w:t xml:space="preserve">The formal application submission will provide an affirmative fair housing marketing plan which will be reviewed by staff for compliance and reasonableness.</w:t>
      </w:r>
    </w:p>
    <w:p>
      <w:pPr>
        <w:widowControl w:val="false"/>
        <w:spacing w:beforeAutospacing="true" w:afterAutospacing="true"/>
        <w:rPr>
          <w:rFonts w:cs="Arial"/>
        </w:rPr>
      </w:pPr>
      <w:r>
        <w:rPr>
          <w:rFonts w:cs="Arial"/>
          <w:b/>
        </w:rPr>
        <w:t xml:space="preserve">Project Completion   </w:t>
      </w:r>
    </w:p>
    <w:p>
      <w:pPr>
        <w:widowControl w:val="false"/>
        <w:spacing w:beforeAutospacing="true" w:afterAutospacing="true"/>
        <w:rPr>
          <w:rFonts w:cs="Arial"/>
        </w:rPr>
      </w:pPr>
      <w:r>
        <w:rPr>
          <w:rFonts w:cs="Arial"/>
        </w:rPr>
        <w:t xml:space="preserve">Post completion, at the first monitoring visit, the submission to OHFA of the affirmative fair housing marketing plan will be provided to the City monitoring staff for the file.  The plan will be reviewed by staff for compliance and reasonableness.</w:t>
      </w:r>
    </w:p>
    <w:p>
      <w:pPr>
        <w:widowControl w:val="false"/>
        <w:spacing w:beforeAutospacing="true" w:afterAutospacing="true"/>
        <w:rPr>
          <w:rFonts w:cs="Arial"/>
        </w:rPr>
      </w:pPr>
      <w:r>
        <w:rPr>
          <w:rFonts w:cs="Arial"/>
          <w:b/>
        </w:rPr>
        <w:t xml:space="preserve">Ongoing Monitoring</w:t>
      </w:r>
    </w:p>
    <w:p>
      <w:pPr>
        <w:widowControl w:val="false"/>
        <w:spacing w:beforeAutospacing="true" w:afterAutospacing="true"/>
        <w:rPr>
          <w:rFonts w:cs="Arial"/>
        </w:rPr>
      </w:pPr>
      <w:r>
        <w:rPr>
          <w:rFonts w:cs="Arial"/>
        </w:rPr>
        <w:t xml:space="preserve">As part of the ongoing monitoring of the rental project, the monitoring staff will request the affirmative fair marketing plan.</w:t>
      </w:r>
    </w:p>
    <w:p>
      <w:pPr>
        <w:widowControl w:val="false"/>
        <w:spacing w:beforeAutospacing="true" w:afterAutospacing="true"/>
        <w:rPr>
          <w:rFonts w:cs="Arial"/>
        </w:rPr>
      </w:pPr>
      <w:r>
        <w:rPr>
          <w:rFonts w:cs="Arial"/>
          <w:b/>
        </w:rPr>
        <w:t xml:space="preserve">Complaints</w:t>
      </w:r>
    </w:p>
    <w:p>
      <w:pPr>
        <w:widowControl w:val="false"/>
        <w:spacing w:beforeAutospacing="true" w:afterAutospacing="true"/>
        <w:rPr>
          <w:rFonts w:cs="Arial"/>
        </w:rPr>
      </w:pPr>
      <w:r>
        <w:rPr>
          <w:rFonts w:cs="Arial"/>
        </w:rPr>
        <w:t xml:space="preserve">Any fair housing complaints will be forwarded to the Columbus Urban League, the City’s Fair Housing contractor.</w:t>
      </w:r>
    </w:p>
    <w:p>
      <w:pPr>
        <w:widowControl w:val="false"/>
        <w:spacing w:beforeAutospacing="true" w:afterAutospacing="true"/>
        <w:rPr>
          <w:rFonts w:cs="Arial"/>
        </w:rPr>
      </w:pPr>
      <w:r>
        <w:rPr>
          <w:rFonts w:cs="Arial"/>
        </w:rPr>
        <w:t xml:space="preserve"> </w:t>
      </w:r>
    </w:p>
    <w:p>
      <w:pPr>
        <w:widowControl w:val="false"/>
        <w:spacing w:beforeAutospacing="true" w:afterAutospacing="true"/>
        <w:rPr>
          <w:rFonts w:cs="Arial"/>
        </w:rPr>
      </w:pPr>
      <w:r>
        <w:rPr>
          <w:rFonts w:cs="Arial"/>
          <w:b/>
        </w:rPr>
        <w:t xml:space="preserve">Homeownership Development and American Dream Downpayment Initiative</w:t>
      </w:r>
    </w:p>
    <w:p>
      <w:pPr>
        <w:widowControl w:val="false"/>
        <w:spacing w:beforeAutospacing="true" w:afterAutospacing="true"/>
        <w:rPr>
          <w:rFonts w:cs="Arial"/>
        </w:rPr>
      </w:pPr>
      <w:r>
        <w:rPr>
          <w:rFonts w:cs="Arial"/>
          <w:b/>
        </w:rPr>
        <w:t xml:space="preserve">            Homebuyer Application</w:t>
      </w:r>
    </w:p>
    <w:p>
      <w:pPr>
        <w:widowControl w:val="false"/>
        <w:spacing w:beforeAutospacing="true" w:afterAutospacing="true"/>
        <w:rPr>
          <w:rFonts w:cs="Arial"/>
        </w:rPr>
      </w:pPr>
      <w:r>
        <w:rPr>
          <w:rFonts w:cs="Arial"/>
        </w:rPr>
        <w:t xml:space="preserve">Information on all HOME funded homebuyers are gathered on race, ethnicity, gender, household size and income.    </w:t>
      </w:r>
    </w:p>
    <w:p>
      <w:pPr>
        <w:widowControl w:val="false"/>
        <w:spacing w:beforeAutospacing="true" w:afterAutospacing="true"/>
        <w:rPr>
          <w:rFonts w:cs="Arial"/>
        </w:rPr>
      </w:pPr>
      <w:r>
        <w:rPr>
          <w:rFonts w:cs="Arial"/>
        </w:rPr>
        <w:t xml:space="preserve">            </w:t>
      </w:r>
      <w:r>
        <w:rPr>
          <w:rFonts w:cs="Arial"/>
          <w:b/>
        </w:rPr>
        <w:t xml:space="preserve">Complaints</w:t>
      </w:r>
    </w:p>
    <w:p>
      <w:pPr>
        <w:widowControl w:val="false"/>
        <w:spacing w:beforeAutospacing="true" w:afterAutospacing="true"/>
        <w:rPr>
          <w:rFonts w:cs="Arial"/>
        </w:rPr>
      </w:pPr>
      <w:r>
        <w:rPr>
          <w:rFonts w:cs="Arial"/>
        </w:rPr>
        <w:t xml:space="preserve">Any fair housing complaints will be forwarded to the Columbus Urban League, the City’s Fair Housing contractor.</w:t>
      </w:r>
    </w:p>
    <w:p>
      <w:pPr>
        <w:widowControl w:val="false"/>
        <w:rPr>
          <w:b/>
          <w:sz w:val="24"/>
          <w:szCs w:val="24"/>
        </w:rPr>
      </w:pPr>
      <w:r>
        <w:rPr>
          <w:b/>
          <w:sz w:val="24"/>
          <w:szCs w:val="24"/>
        </w:rPr>
        <w:t>Refer to IDIS reports to describe the amount and use of program income for projects, including the number of projects and owner and tenant characteristics</w:t>
      </w:r>
    </w:p>
    <w:p>
      <w:pPr>
        <w:widowControl w:val="false"/>
        <w:spacing w:beforeAutospacing="true" w:afterAutospacing="true"/>
        <w:rPr>
          <w:rFonts w:cs="Arial"/>
        </w:rPr>
      </w:pPr>
      <w:r>
        <w:rPr>
          <w:rFonts w:cs="Arial"/>
        </w:rPr>
        <w:t xml:space="preserve">HOME program income is added to the HOME entitlement grant to create a pool of available resources.</w:t>
      </w:r>
    </w:p>
    <w:p>
      <w:pPr>
        <w:widowControl w:val="false"/>
        <w:rPr>
          <w:b/>
          <w:sz w:val="24"/>
          <w:szCs w:val="24"/>
        </w:rPr>
      </w:pPr>
      <w:r>
        <w:rPr>
          <w:b/>
          <w:sz w:val="24"/>
          <w:szCs w:val="24"/>
        </w:rPr>
        <w:t>Describe other actions taken to foster and maintain affordable housing. 24 CFR 91.220(k) (STATES ONLY: Including the coordination of LIHTC with the development of affordable housing). 24 CFR 91.320(j)</w:t>
      </w:r>
    </w:p>
    <w:p>
      <w:pPr>
        <w:widowControl w:val="false"/>
        <w:rPr>
          <w:rFonts w:cs="Arial"/>
        </w:rPr>
      </w:pPr>
      <w:r>
        <w:rPr>
          <w:rFonts w:cs="Arial"/>
        </w:rPr>
      </w:r>
    </w:p>
    <w:p>
      <w:pPr>
        <w:widowControl w:val="false"/>
        <w:rPr>
          <w:rFonts w:cs="Arial"/>
          <w:szCs w:val="26"/>
        </w:rPr>
      </w:pPr>
    </w:p>
    <w:p/>
    <w:p/>
    <w:p>
      <w:pPr>
        <w:pStyle w:val="Heading2"/>
        <w:keepNext w:val="false"/>
        <w:pageBreakBefore/>
        <w:widowControl w:val="false"/>
        <w:rPr>
          <w:rFonts w:ascii="Calibri" w:hAnsi="Calibri"/>
          <w:i w:val="false"/>
        </w:rPr>
      </w:pPr>
      <w:r>
        <w:rPr>
          <w:rFonts w:ascii="Calibri" w:hAnsi="Calibri"/>
          <w:i w:val="false"/>
        </w:rPr>
        <w:t>CR-55 - HOPWA 91.520(e)</w:t>
      </w:r>
    </w:p>
    <w:p>
      <w:pPr>
        <w:widowControl w:val="false"/>
        <w:rPr>
          <w:b/>
          <w:sz w:val="24"/>
          <w:szCs w:val="24"/>
        </w:rPr>
      </w:pPr>
      <w:r>
        <w:rPr>
          <w:b/>
          <w:sz w:val="24"/>
          <w:szCs w:val="24"/>
        </w:rPr>
        <w:t xml:space="preserve">Identify the number of individuals assisted and the types of assistance provided </w:t>
      </w:r>
    </w:p>
    <w:p>
      <w:pPr>
        <w:widowControl w:val="false"/>
        <w:rPr>
          <w:sz w:val="24"/>
          <w:szCs w:val="24"/>
        </w:rPr>
      </w:pPr>
      <w:r>
        <w:rPr>
          <w:sz w:val="24"/>
          <w:szCs w:val="24"/>
        </w:rPr>
        <w:t>Table for report on the one-year goals for the number of households provided housing through the use of HOPWA activities for: short-term rent, mortgage, and utility assistance payments to prevent homelessness of the individual or family; tenant-based rental assistance; and units provided in housing facilities developed, leased, or operated with HOPWA funds.</w:t>
      </w:r>
    </w:p>
    <w:tbl>
      <w:tblPr>
        <w:tblW w:w="5000"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firstRow="1" w:lastRow="1" w:firstColumn="1" w:lastColumn="1" w:noHBand="0" w:noVBand="0" w:val="01E0"/>
      </w:tblPr>
      <w:tblGrid>
        <w:gridCol w:w="4680"/>
        <w:gridCol w:w="2524"/>
        <w:gridCol w:w="2386"/>
      </w:tblGrid>
      <w:tr>
        <w:trPr>
          <w:cantSplit/>
        </w:trPr>
        <w:tc>
          <w:tcPr>
            <w:tcW w:w="4673" w:type="dxa"/>
          </w:tcPr>
          <w:p>
            <w:pPr>
              <w:keepNext/>
              <w:widowControl w:val="false"/>
              <w:tabs>
                <w:tab w:val="left" w:pos="2070"/>
              </w:tabs>
              <w:spacing w:after="0" w:line="240" w:lineRule="auto"/>
              <w:ind w:right="162"/>
              <w:jc w:val="center"/>
              <w:rPr>
                <w:b/>
              </w:rPr>
            </w:pPr>
            <w:r>
              <w:rPr>
                <w:b/>
              </w:rPr>
              <w:t>Number  of Households Served Through:</w:t>
            </w:r>
          </w:p>
        </w:tc>
        <w:tc>
          <w:tcPr>
            <w:tcW w:w="2520" w:type="dxa"/>
          </w:tcPr>
          <w:p>
            <w:pPr>
              <w:keepNext/>
              <w:widowControl w:val="false"/>
              <w:spacing w:after="0" w:line="240" w:lineRule="auto"/>
              <w:jc w:val="center"/>
              <w:rPr>
                <w:b/>
              </w:rPr>
            </w:pPr>
            <w:r>
              <w:rPr>
                <w:b/>
              </w:rPr>
              <w:t>One-year Goal</w:t>
            </w:r>
          </w:p>
        </w:tc>
        <w:tc>
          <w:tcPr>
            <w:tcW w:w="2383" w:type="dxa"/>
          </w:tcPr>
          <w:p>
            <w:pPr>
              <w:keepNext/>
              <w:widowControl w:val="false"/>
              <w:spacing w:after="0" w:line="240" w:lineRule="auto"/>
              <w:jc w:val="center"/>
              <w:rPr>
                <w:b/>
              </w:rPr>
            </w:pPr>
            <w:r>
              <w:rPr>
                <w:b/>
              </w:rPr>
              <w:t>Actual</w:t>
            </w:r>
          </w:p>
        </w:tc>
      </w:tr>
      <w:tr>
        <w:trPr>
          <w:cantSplit w:val="true"/>
        </w:trPr>
        <w:tc>
          <w:tcPr>
            <w:vAlign w:val="bottom"/>
          </w:tcPr>
          <w:p>
            <w:pPr>
              <w:spacing w:beforeAutospacing="true" w:afterAutospacing="true"/>
              <w:jc w:val="left"/>
            </w:pPr>
            <w:r>
              <w:rPr>
                <w:rFonts w:ascii="Calibri" w:hAnsi="Calibri"/>
                <w:color w:val="000000"/>
                <w:sz w:val="22"/>
              </w:rPr>
              <w:t xml:space="preserve">Short-term rent, mortgage, and utility assistance to prevent homelessness of the individual or family</w:t>
            </w:r>
          </w:p>
        </w:tc>
        <w:tc>
          <w:tcPr>
            <w:vAlign w:val="bottom"/>
          </w:tcPr>
          <w:p>
            <w:pPr>
              <w:spacing w:beforeAutospacing="true" w:afterAutospacing="true"/>
              <w:jc w:val="right"/>
            </w:pPr>
            <w:r>
              <w:rPr>
                <w:rFonts w:ascii="Calibri" w:hAnsi="Calibri"/>
                <w:color w:val="000000"/>
                <w:sz w:val="22"/>
              </w:rPr>
              <w:t xml:space="preserve">20</w:t>
            </w:r>
          </w:p>
        </w:tc>
        <w:tc>
          <w:tcPr>
            <w:vAlign w:val="bottom"/>
          </w:tcPr>
          <w:p>
            <w:pPr>
              <w:spacing w:beforeAutospacing="true" w:afterAutospacing="true"/>
              <w:jc w:val="right"/>
            </w:pPr>
            <w:r>
              <w:rPr>
                <w:rFonts w:ascii="Calibri" w:hAnsi="Calibri"/>
                <w:color w:val="000000"/>
                <w:sz w:val="22"/>
              </w:rPr>
              <w:t xml:space="preserve">32</w:t>
            </w:r>
          </w:p>
        </w:tc>
      </w:tr>
      <w:tr>
        <w:trPr>
          <w:cantSplit w:val="true"/>
        </w:trPr>
        <w:tc>
          <w:tcPr>
            <w:vAlign w:val="bottom"/>
          </w:tcPr>
          <w:p>
            <w:pPr>
              <w:spacing w:beforeAutospacing="true" w:afterAutospacing="true"/>
              <w:jc w:val="left"/>
            </w:pPr>
            <w:r>
              <w:rPr>
                <w:rFonts w:ascii="Calibri" w:hAnsi="Calibri"/>
                <w:color w:val="000000"/>
                <w:sz w:val="22"/>
              </w:rPr>
              <w:t xml:space="preserve">Tenant-based rental assistance</w:t>
            </w:r>
          </w:p>
        </w:tc>
        <w:tc>
          <w:tcPr>
            <w:vAlign w:val="bottom"/>
          </w:tcPr>
          <w:p>
            <w:pPr>
              <w:spacing w:beforeAutospacing="true" w:afterAutospacing="true"/>
              <w:jc w:val="right"/>
            </w:pPr>
            <w:r>
              <w:rPr>
                <w:rFonts w:ascii="Calibri" w:hAnsi="Calibri"/>
                <w:color w:val="000000"/>
                <w:sz w:val="22"/>
              </w:rPr>
              <w:t xml:space="preserve">99</w:t>
            </w:r>
          </w:p>
        </w:tc>
        <w:tc>
          <w:tcPr>
            <w:vAlign w:val="bottom"/>
          </w:tcPr>
          <w:p>
            <w:pPr>
              <w:spacing w:beforeAutospacing="true" w:afterAutospacing="true"/>
              <w:jc w:val="right"/>
            </w:pPr>
            <w:r>
              <w:rPr>
                <w:rFonts w:ascii="Calibri" w:hAnsi="Calibri"/>
                <w:color w:val="000000"/>
                <w:sz w:val="22"/>
              </w:rPr>
              <w:t xml:space="preserve">97</w:t>
            </w:r>
          </w:p>
        </w:tc>
      </w:tr>
      <w:tr>
        <w:trPr>
          <w:cantSplit w:val="true"/>
        </w:trPr>
        <w:tc>
          <w:tcPr>
            <w:vAlign w:val="bottom"/>
          </w:tcPr>
          <w:p>
            <w:pPr>
              <w:spacing w:beforeAutospacing="true" w:afterAutospacing="true"/>
              <w:jc w:val="left"/>
            </w:pPr>
            <w:r>
              <w:rPr>
                <w:rFonts w:ascii="Calibri" w:hAnsi="Calibri"/>
                <w:color w:val="000000"/>
                <w:sz w:val="22"/>
              </w:rPr>
              <w:t xml:space="preserve">Units provided in permanent housing facilities developed, leased, or operated with HOPWA funds</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14</w:t>
            </w:r>
          </w:p>
        </w:tc>
      </w:tr>
      <w:tr>
        <w:trPr>
          <w:cantSplit w:val="true"/>
        </w:trPr>
        <w:tc>
          <w:tcPr>
            <w:vAlign w:val="bottom"/>
          </w:tcPr>
          <w:p>
            <w:pPr>
              <w:spacing w:beforeAutospacing="true" w:afterAutospacing="true"/>
              <w:jc w:val="left"/>
            </w:pPr>
            <w:r>
              <w:rPr>
                <w:rFonts w:ascii="Calibri" w:hAnsi="Calibri"/>
                <w:color w:val="000000"/>
                <w:sz w:val="22"/>
              </w:rPr>
              <w:t xml:space="preserve">Units provided in transitional short-term housing facilities developed, leased, or operated with HOPWA funds</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top"/>
          </w:tcPr>
          <w:p>
            <w:pPr>
              <w:spacing w:beforeAutospacing="true" w:afterAutospacing="true"/>
              <w:jc w:val="left"/>
            </w:pPr>
            <w:r>
              <w:rPr>
                <w:rFonts w:ascii="Verdana" w:hAnsi="Verdana"/>
                <w:color w:val="ffffff"/>
                <w:sz w:val="16"/>
              </w:rPr>
              <w:t xml:space="preserve">Total</w:t>
            </w:r>
          </w:p>
        </w:tc>
        <w:tc>
          <w:tcPr>
            <w:vAlign w:val="top"/>
          </w:tcPr>
          <w:p>
            <w:pPr>
              <w:spacing w:beforeAutospacing="true" w:afterAutospacing="true"/>
              <w:jc w:val="right"/>
            </w:pPr>
            <w:r>
              <w:rPr>
                <w:rFonts w:ascii="Verdana" w:hAnsi="Verdana"/>
                <w:color w:val="ffffff"/>
                <w:sz w:val="16"/>
              </w:rPr>
              <w:t xml:space="preserve">119</w:t>
            </w:r>
          </w:p>
        </w:tc>
        <w:tc>
          <w:tcPr>
            <w:vAlign w:val="top"/>
          </w:tcPr>
          <w:p>
            <w:pPr>
              <w:spacing w:beforeAutospacing="true" w:afterAutospacing="true"/>
              <w:jc w:val="right"/>
            </w:pPr>
            <w:r>
              <w:rPr>
                <w:rFonts w:ascii="Verdana" w:hAnsi="Verdana"/>
                <w:color w:val="ffffff"/>
                <w:sz w:val="16"/>
              </w:rPr>
              <w:t xml:space="preserve">143</w:t>
            </w:r>
          </w:p>
        </w:tc>
      </w:tr>
    </w:tbl>
    <w:p>
      <w:pPr>
        <w:pStyle w:val="Caption"/>
        <w:jc w:val="center"/>
        <w:rPr>
          <w:rFonts w:asciiTheme="minorHAnsi" w:hAnsiTheme="minorHAnsi"/>
        </w:rPr>
      </w:pPr>
      <w:r>
        <w:rPr>
          <w:rFonts w:asciiTheme="minorHAnsi" w:hAnsiTheme="minorHAnsi"/>
        </w:rPr>
        <w:t xml:space="preserve">Table </w:t>
        <w:fldChar w:fldCharType="begin"/>
        <w:instrText xml:space="preserve"> SEQ Table \* ARABIC </w:instrText>
        <w:fldChar w:fldCharType="separate"/>
        <w:t>14</w:t>
        <w:fldChar w:fldCharType="end"/>
        <w:t xml:space="preserve"> – HOPWA Number of Households Served</w:t>
      </w:r>
    </w:p>
    <w:p>
      <w:pPr>
        <w:widowControl w:val="false"/>
        <w:rPr>
          <w:b/>
          <w:sz w:val="24"/>
          <w:szCs w:val="24"/>
        </w:rPr>
      </w:pPr>
    </w:p>
    <w:p>
      <w:pPr>
        <w:widowControl w:val="false"/>
        <w:rPr>
          <w:b/>
          <w:sz w:val="24"/>
          <w:szCs w:val="24"/>
        </w:rPr>
      </w:pPr>
      <w:r>
        <w:rPr>
          <w:b/>
          <w:sz w:val="24"/>
          <w:szCs w:val="24"/>
        </w:rPr>
        <w:t>Narrative</w:t>
      </w:r>
    </w:p>
    <w:p>
      <w:pPr>
        <w:widowControl w:val="false"/>
        <w:spacing w:beforeAutospacing="true" w:afterAutospacing="true"/>
        <w:rPr>
          <w:rFonts w:cs="Arial"/>
        </w:rPr>
      </w:pPr>
      <w:r>
        <w:rPr>
          <w:rFonts w:cs="Arial"/>
        </w:rPr>
        <w:t xml:space="preserve">Please see the attached HOPWA CAPER for 2019 outcomes. </w:t>
      </w:r>
    </w:p>
    <w:p>
      <w:pPr>
        <w:spacing w:after="0" w:line="240" w:lineRule="auto"/>
        <w:rPr>
          <w:b/>
        </w:rPr>
      </w:pPr>
    </w:p>
    <w:p>
      <w:pPr>
        <w:spacing w:after="0" w:line="240" w:lineRule="auto"/>
      </w:pPr>
    </w:p>
    <w:p>
      <w:pPr>
        <w:pStyle w:val="Heading2"/>
        <w:keepNext w:val="false"/>
        <w:pageBreakBefore/>
        <w:widowControl w:val="false"/>
        <w:rPr>
          <w:rFonts w:ascii="Calibri" w:hAnsi="Calibri"/>
          <w:i w:val="false"/>
        </w:rPr>
      </w:pPr>
      <w:r>
        <w:rPr>
          <w:rFonts w:ascii="Calibri" w:hAnsi="Calibri"/>
          <w:i w:val="false"/>
        </w:rPr>
        <w:t>CR-58 – Section 3</w:t>
      </w:r>
    </w:p>
    <w:p>
      <w:pPr>
        <w:widowControl w:val="false"/>
        <w:rPr>
          <w:b/>
          <w:sz w:val="24"/>
          <w:szCs w:val="24"/>
        </w:rPr>
      </w:pPr>
      <w:r>
        <w:rPr>
          <w:b/>
          <w:sz w:val="24"/>
          <w:szCs w:val="24"/>
        </w:rPr>
        <w:t xml:space="preserve">Identify the number of individuals assisted and the types of assistance provided </w:t>
      </w:r>
    </w:p>
    <w:p>
      <w:pPr>
        <w:widowControl w:val="false"/>
        <w:rPr>
          <w:sz w:val="24"/>
          <w:szCs w:val="24"/>
        </w:rPr>
      </w:pPr>
    </w:p>
    <w:tbl>
      <w:tblPr>
        <w:tblW w:w="5021"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firstRow="1" w:lastRow="1" w:firstColumn="1" w:lastColumn="1" w:noHBand="0" w:noVBand="0" w:val="01E0"/>
      </w:tblPr>
      <w:tblGrid>
        <w:gridCol w:w="5490"/>
        <w:gridCol w:w="810"/>
        <w:gridCol w:w="900"/>
        <w:gridCol w:w="720"/>
        <w:gridCol w:w="990"/>
        <w:gridCol w:w="720"/>
      </w:tblGrid>
      <w:tr>
        <w:trPr>
          <w:cantSplit/>
        </w:trPr>
        <w:tc>
          <w:tcPr>
            <w:tcW w:w="5490" w:type="dxa"/>
          </w:tcPr>
          <w:p>
            <w:pPr>
              <w:keepNext/>
              <w:widowControl w:val="false"/>
              <w:tabs>
                <w:tab w:val="left" w:pos="2070"/>
              </w:tabs>
              <w:spacing w:after="0" w:line="240" w:lineRule="auto"/>
              <w:ind w:right="162"/>
              <w:jc w:val="center"/>
              <w:rPr>
                <w:b/>
              </w:rPr>
            </w:pPr>
            <w:r>
              <w:rPr>
                <w:b/>
              </w:rPr>
              <w:t>Total Labor Hours</w:t>
            </w:r>
          </w:p>
        </w:tc>
        <w:tc>
          <w:tcPr>
            <w:tcW w:w="810" w:type="dxa"/>
          </w:tcPr>
          <w:p>
            <w:pPr>
              <w:keepNext/>
              <w:widowControl w:val="false"/>
              <w:spacing w:after="0" w:line="240" w:lineRule="auto"/>
              <w:jc w:val="center"/>
              <w:rPr>
                <w:b/>
              </w:rPr>
            </w:pPr>
            <w:r>
              <w:rPr>
                <w:b/>
              </w:rPr>
              <w:t>CDBG</w:t>
            </w:r>
          </w:p>
        </w:tc>
        <w:tc>
          <w:tcPr>
            <w:tcW w:w="900" w:type="dxa"/>
          </w:tcPr>
          <w:p>
            <w:pPr>
              <w:keepNext/>
              <w:widowControl w:val="false"/>
              <w:spacing w:after="0" w:line="240" w:lineRule="auto"/>
              <w:jc w:val="center"/>
              <w:rPr>
                <w:b/>
              </w:rPr>
            </w:pPr>
            <w:r>
              <w:rPr>
                <w:b/>
              </w:rPr>
              <w:t>HOME</w:t>
            </w:r>
          </w:p>
        </w:tc>
        <w:tc>
          <w:tcPr>
            <w:tcW w:w="720" w:type="dxa"/>
          </w:tcPr>
          <w:p>
            <w:pPr>
              <w:keepNext/>
              <w:widowControl w:val="false"/>
              <w:spacing w:after="0" w:line="240" w:lineRule="auto"/>
              <w:rPr>
                <w:b/>
              </w:rPr>
            </w:pPr>
            <w:r>
              <w:rPr>
                <w:b/>
              </w:rPr>
              <w:t>ESG</w:t>
            </w:r>
          </w:p>
        </w:tc>
        <w:tc>
          <w:tcPr>
            <w:tcW w:w="990" w:type="dxa"/>
          </w:tcPr>
          <w:p>
            <w:pPr>
              <w:keepNext/>
              <w:widowControl w:val="false"/>
              <w:spacing w:after="0" w:line="240" w:lineRule="auto"/>
              <w:jc w:val="center"/>
              <w:rPr>
                <w:b/>
              </w:rPr>
            </w:pPr>
            <w:r>
              <w:rPr>
                <w:b/>
              </w:rPr>
              <w:t>HOPWA</w:t>
            </w:r>
          </w:p>
        </w:tc>
        <w:tc>
          <w:tcPr>
            <w:tcW w:w="720" w:type="dxa"/>
          </w:tcPr>
          <w:p>
            <w:pPr>
              <w:keepNext/>
              <w:widowControl w:val="false"/>
              <w:spacing w:after="0" w:line="240" w:lineRule="auto"/>
              <w:jc w:val="center"/>
              <w:rPr>
                <w:b/>
              </w:rPr>
            </w:pPr>
            <w:r>
              <w:rPr>
                <w:b/>
              </w:rPr>
              <w:t>HTF</w:t>
            </w:r>
          </w:p>
        </w:tc>
      </w:tr>
    </w:tbl>
    <w:p>
      <w:pPr>
        <w:pStyle w:val="Caption"/>
        <w:jc w:val="center"/>
        <w:rPr>
          <w:rFonts w:asciiTheme="minorHAnsi" w:hAnsiTheme="minorHAnsi"/>
        </w:rPr>
      </w:pPr>
      <w:r>
        <w:rPr>
          <w:rFonts w:asciiTheme="minorHAnsi" w:hAnsiTheme="minorHAnsi"/>
        </w:rPr>
        <w:t xml:space="preserve">Table </w:t>
        <w:fldChar w:fldCharType="begin"/>
        <w:instrText xml:space="preserve"> SEQ Table \* ARABIC </w:instrText>
        <w:fldChar w:fldCharType="separate"/>
        <w:t>15</w:t>
        <w:fldChar w:fldCharType="end"/>
        <w:t xml:space="preserve"> – Total Labor Hours</w:t>
      </w:r>
    </w:p>
    <w:p>
      <w:pPr>
        <w:widowControl w:val="false"/>
        <w:rPr>
          <w:b/>
          <w:sz w:val="24"/>
          <w:szCs w:val="24"/>
        </w:rPr>
      </w:pPr>
    </w:p>
    <w:tbl>
      <w:tblPr>
        <w:tblW w:w="5021"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firstRow="1" w:lastRow="1" w:firstColumn="1" w:lastColumn="1" w:noHBand="0" w:noVBand="0" w:val="01E0"/>
      </w:tblPr>
      <w:tblGrid>
        <w:gridCol w:w="5490"/>
        <w:gridCol w:w="810"/>
        <w:gridCol w:w="900"/>
        <w:gridCol w:w="720"/>
        <w:gridCol w:w="990"/>
        <w:gridCol w:w="720"/>
      </w:tblGrid>
      <w:tr>
        <w:trPr>
          <w:cantSplit/>
        </w:trPr>
        <w:tc>
          <w:tcPr>
            <w:tcW w:w="5490" w:type="dxa"/>
          </w:tcPr>
          <w:p>
            <w:pPr>
              <w:keepNext/>
              <w:widowControl w:val="false"/>
              <w:tabs>
                <w:tab w:val="left" w:pos="2070"/>
              </w:tabs>
              <w:spacing w:after="0" w:line="240" w:lineRule="auto"/>
              <w:ind w:right="162"/>
              <w:jc w:val="center"/>
              <w:rPr>
                <w:b/>
              </w:rPr>
            </w:pPr>
            <w:r>
              <w:rPr>
                <w:b/>
              </w:rPr>
              <w:t>Qualitative Efforts - Number of Activities by Program</w:t>
            </w:r>
          </w:p>
        </w:tc>
        <w:tc>
          <w:tcPr>
            <w:tcW w:w="810" w:type="dxa"/>
          </w:tcPr>
          <w:p>
            <w:pPr>
              <w:keepNext/>
              <w:widowControl w:val="false"/>
              <w:spacing w:after="0" w:line="240" w:lineRule="auto"/>
              <w:jc w:val="center"/>
              <w:rPr>
                <w:b/>
              </w:rPr>
            </w:pPr>
            <w:r>
              <w:rPr>
                <w:b/>
              </w:rPr>
              <w:t>CDBG</w:t>
            </w:r>
          </w:p>
        </w:tc>
        <w:tc>
          <w:tcPr>
            <w:tcW w:w="900" w:type="dxa"/>
          </w:tcPr>
          <w:p>
            <w:pPr>
              <w:keepNext/>
              <w:widowControl w:val="false"/>
              <w:spacing w:after="0" w:line="240" w:lineRule="auto"/>
              <w:jc w:val="center"/>
              <w:rPr>
                <w:b/>
              </w:rPr>
            </w:pPr>
            <w:r>
              <w:rPr>
                <w:b/>
              </w:rPr>
              <w:t>HOME</w:t>
            </w:r>
          </w:p>
        </w:tc>
        <w:tc>
          <w:tcPr>
            <w:tcW w:w="720" w:type="dxa"/>
          </w:tcPr>
          <w:p>
            <w:pPr>
              <w:keepNext/>
              <w:widowControl w:val="false"/>
              <w:spacing w:after="0" w:line="240" w:lineRule="auto"/>
              <w:rPr>
                <w:b/>
              </w:rPr>
            </w:pPr>
            <w:r>
              <w:rPr>
                <w:b/>
              </w:rPr>
              <w:t>ESG</w:t>
            </w:r>
          </w:p>
        </w:tc>
        <w:tc>
          <w:tcPr>
            <w:tcW w:w="990" w:type="dxa"/>
          </w:tcPr>
          <w:p>
            <w:pPr>
              <w:keepNext/>
              <w:widowControl w:val="false"/>
              <w:spacing w:after="0" w:line="240" w:lineRule="auto"/>
              <w:jc w:val="center"/>
              <w:rPr>
                <w:b/>
              </w:rPr>
            </w:pPr>
            <w:r>
              <w:rPr>
                <w:b/>
              </w:rPr>
              <w:t>HOPWA</w:t>
            </w:r>
          </w:p>
        </w:tc>
        <w:tc>
          <w:tcPr>
            <w:tcW w:w="720" w:type="dxa"/>
          </w:tcPr>
          <w:p>
            <w:pPr>
              <w:keepNext/>
              <w:widowControl w:val="false"/>
              <w:spacing w:after="0" w:line="240" w:lineRule="auto"/>
              <w:jc w:val="center"/>
              <w:rPr>
                <w:b/>
              </w:rPr>
            </w:pPr>
            <w:r>
              <w:rPr>
                <w:b/>
              </w:rPr>
              <w:t>HTF</w:t>
            </w:r>
          </w:p>
        </w:tc>
      </w:tr>
    </w:tbl>
    <w:p>
      <w:pPr>
        <w:pStyle w:val="Caption"/>
        <w:jc w:val="center"/>
        <w:rPr>
          <w:rFonts w:asciiTheme="minorHAnsi" w:hAnsiTheme="minorHAnsi"/>
        </w:rPr>
      </w:pPr>
      <w:r>
        <w:rPr>
          <w:rFonts w:asciiTheme="minorHAnsi" w:hAnsiTheme="minorHAnsi"/>
        </w:rPr>
        <w:t xml:space="preserve">Table </w:t>
        <w:fldChar w:fldCharType="begin"/>
        <w:instrText xml:space="preserve"> SEQ Table \* ARABIC </w:instrText>
        <w:fldChar w:fldCharType="separate"/>
        <w:t>16</w:t>
        <w:fldChar w:fldCharType="end"/>
        <w:t xml:space="preserve"> – Qualitative Efforts - Number of Activities by Program</w:t>
      </w:r>
    </w:p>
    <w:p>
      <w:pPr>
        <w:widowControl w:val="false"/>
        <w:rPr>
          <w:b/>
          <w:sz w:val="24"/>
          <w:szCs w:val="24"/>
        </w:rPr>
      </w:pPr>
    </w:p>
    <w:p>
      <w:pPr>
        <w:widowControl w:val="false"/>
        <w:rPr>
          <w:b/>
          <w:sz w:val="24"/>
          <w:szCs w:val="24"/>
        </w:rPr>
      </w:pPr>
      <w:r>
        <w:rPr>
          <w:b/>
          <w:sz w:val="24"/>
          <w:szCs w:val="24"/>
        </w:rPr>
        <w:t>Narrative</w:t>
      </w:r>
    </w:p>
    <w:p/>
    <w:p>
      <w:pPr>
        <w:pStyle w:val="Heading2"/>
        <w:rPr>
          <w:i w:val="false"/>
        </w:rPr>
      </w:pPr>
      <w:r>
        <w:rPr>
          <w:i w:val="false"/>
        </w:rPr>
        <w:t>CR-60 - ESG 91.520(g) (ESG Recipients only)</w:t>
      </w:r>
    </w:p>
    <w:p>
      <w:pPr>
        <w:jc w:val="center"/>
        <w:rPr>
          <w:b/>
          <w:sz w:val="24"/>
          <w:szCs w:val="24"/>
        </w:rPr>
      </w:pPr>
      <w:r>
        <w:rPr>
          <w:b/>
          <w:sz w:val="24"/>
          <w:szCs w:val="24"/>
        </w:rPr>
        <w:t xml:space="preserve">ESG Supplement to the CAPER in </w:t>
      </w:r>
      <w:r>
        <w:rPr>
          <w:b/>
          <w:i/>
          <w:sz w:val="24"/>
          <w:szCs w:val="24"/>
        </w:rPr>
        <w:t>e-snaps</w:t>
      </w:r>
    </w:p>
    <w:p>
      <w:pPr>
        <w:jc w:val="center"/>
        <w:rPr>
          <w:b/>
          <w:sz w:val="24"/>
          <w:szCs w:val="24"/>
        </w:rPr>
      </w:pPr>
      <w:r>
        <w:rPr>
          <w:b/>
          <w:sz w:val="24"/>
          <w:szCs w:val="24"/>
        </w:rPr>
        <w:t>For Paperwork Reduction Act</w:t>
      </w:r>
    </w:p>
    <w:p>
      <w:pPr>
        <w:widowControl w:val="false"/>
        <w:spacing w:after="0" w:line="240" w:lineRule="auto"/>
        <w:rPr>
          <w:b/>
          <w:sz w:val="24"/>
          <w:szCs w:val="24"/>
        </w:rPr>
      </w:pPr>
      <w:r>
        <w:rPr>
          <w:b/>
          <w:sz w:val="24"/>
          <w:szCs w:val="24"/>
        </w:rPr>
        <w:t>1. Recipient Information—All Recipients Complete</w:t>
      </w:r>
    </w:p>
    <w:p>
      <w:pPr>
        <w:widowControl w:val="false"/>
        <w:spacing w:after="0" w:line="240" w:lineRule="auto"/>
        <w:rPr>
          <w:b/>
          <w:u w:val="single"/>
        </w:rPr>
      </w:pPr>
      <w:r>
        <w:rPr>
          <w:b/>
          <w:u w:val="single"/>
        </w:rPr>
        <w:t>Basic Grant Information</w:t>
      </w:r>
    </w:p>
    <w:tbl>
      <w:tblPr>
        <w:tblW w:w="5000" w:type="pct"/>
        <w:tblInd w:w="115" w:type="dxa"/>
        <w:tblLayout w:type="fixed"/>
        <w:tblCellMar>
          <w:left w:w="115" w:type="dxa"/>
          <w:right w:w="115" w:type="dxa"/>
        </w:tblCellMar>
        <w:tblLook w:firstRow="1" w:lastRow="1" w:firstColumn="1" w:lastColumn="1" w:noHBand="0" w:noVBand="0" w:val="01E0"/>
      </w:tblPr>
      <w:tblGrid>
        <w:gridCol w:w="4320"/>
        <w:gridCol w:w="5270"/>
      </w:tblGrid>
      <w:tr>
        <w:trPr>
          <w:cantSplit/>
        </w:trPr>
        <w:tc>
          <w:tcPr>
            <w:tcW w:w="4320" w:type="dxa"/>
          </w:tcPr>
          <w:p>
            <w:pPr>
              <w:tabs>
                <w:tab w:val="left" w:pos="2070"/>
              </w:tabs>
              <w:spacing w:after="0" w:line="240" w:lineRule="auto"/>
              <w:ind w:right="162"/>
            </w:pPr>
            <w:r>
              <w:rPr>
                <w:b/>
                <w:bCs/>
              </w:rPr>
              <w:t>Recipient Name</w:t>
            </w:r>
          </w:p>
        </w:tc>
        <w:tc>
          <w:tcPr>
            <w:tcW w:w="5270" w:type="dxa"/>
          </w:tcPr>
          <w:p>
            <w:pPr>
              <w:widowControl w:val="false"/>
              <w:spacing w:beforeAutospacing="true" w:afterAutospacing="true"/>
              <w:rPr>
                <w:rFonts w:cs="Arial"/>
              </w:rPr>
            </w:pPr>
            <w:r>
              <w:rPr>
                <w:rFonts w:cs="Arial"/>
              </w:rPr>
              <w:t xml:space="preserve">COLUMBUS</w:t>
            </w:r>
          </w:p>
        </w:tc>
      </w:tr>
    </w:tbl>
    <w:p>
      <w:pPr>
        <w:widowControl w:val="false"/>
        <w:spacing w:after="0" w:line="240" w:lineRule="auto"/>
        <w:rPr>
          <w:b/>
          <w:vanish/>
          <w:sz w:val="24"/>
          <w:szCs w:val="24"/>
        </w:rPr>
      </w:pPr>
    </w:p>
    <w:tbl>
      <w:tblPr>
        <w:tblW w:w="5000" w:type="pct"/>
        <w:tblInd w:w="115" w:type="dxa"/>
        <w:tblLayout w:type="fixed"/>
        <w:tblCellMar>
          <w:left w:w="115" w:type="dxa"/>
          <w:right w:w="115" w:type="dxa"/>
        </w:tblCellMar>
        <w:tblLook w:firstRow="1" w:lastRow="1" w:firstColumn="1" w:lastColumn="1" w:noHBand="0" w:noVBand="0" w:val="01E0"/>
      </w:tblPr>
      <w:tblGrid>
        <w:gridCol w:w="4320"/>
        <w:gridCol w:w="5270"/>
      </w:tblGrid>
      <w:tr>
        <w:trPr>
          <w:cantSplit/>
        </w:trPr>
        <w:tc>
          <w:tcPr>
            <w:tcW w:w="4320" w:type="dxa"/>
          </w:tcPr>
          <w:p>
            <w:pPr>
              <w:tabs>
                <w:tab w:val="left" w:pos="2070"/>
              </w:tabs>
              <w:spacing w:after="0" w:line="240" w:lineRule="auto"/>
              <w:ind w:right="162"/>
            </w:pPr>
            <w:r>
              <w:rPr>
                <w:b/>
                <w:bCs/>
              </w:rPr>
              <w:t>Organizational DUNS Number</w:t>
            </w:r>
          </w:p>
        </w:tc>
        <w:tc>
          <w:tcPr>
            <w:tcW w:w="5270" w:type="dxa"/>
          </w:tcPr>
          <w:p>
            <w:pPr>
              <w:widowControl w:val="false"/>
              <w:spacing w:beforeAutospacing="true" w:afterAutospacing="true"/>
              <w:rPr>
                <w:rFonts w:cs="Arial"/>
              </w:rPr>
            </w:pPr>
            <w:r>
              <w:rPr>
                <w:rFonts w:cs="Arial"/>
              </w:rPr>
              <w:t xml:space="preserve">051369916</w:t>
            </w:r>
          </w:p>
        </w:tc>
      </w:tr>
    </w:tbl>
    <w:p>
      <w:pPr>
        <w:widowControl w:val="false"/>
        <w:spacing w:after="0" w:line="240" w:lineRule="auto"/>
        <w:rPr>
          <w:b/>
          <w:vanish/>
          <w:sz w:val="24"/>
          <w:szCs w:val="24"/>
        </w:rPr>
      </w:pPr>
    </w:p>
    <w:tbl>
      <w:tblPr>
        <w:tblW w:w="5000" w:type="pct"/>
        <w:tblInd w:w="115" w:type="dxa"/>
        <w:tblLayout w:type="fixed"/>
        <w:tblCellMar>
          <w:left w:w="115" w:type="dxa"/>
          <w:right w:w="115" w:type="dxa"/>
        </w:tblCellMar>
        <w:tblLook w:firstRow="1" w:lastRow="1" w:firstColumn="1" w:lastColumn="1" w:noHBand="0" w:noVBand="0" w:val="01E0"/>
      </w:tblPr>
      <w:tblGrid>
        <w:gridCol w:w="4320"/>
        <w:gridCol w:w="5270"/>
      </w:tblGrid>
      <w:tr>
        <w:trPr>
          <w:cantSplit/>
        </w:trPr>
        <w:tc>
          <w:tcPr>
            <w:tcW w:w="4320" w:type="dxa"/>
            <w:hideMark/>
          </w:tcPr>
          <w:p>
            <w:pPr>
              <w:tabs>
                <w:tab w:val="left" w:pos="2070"/>
              </w:tabs>
              <w:spacing w:after="0" w:line="240" w:lineRule="auto"/>
              <w:ind w:right="162"/>
            </w:pPr>
            <w:r>
              <w:rPr>
                <w:b/>
                <w:bCs/>
              </w:rPr>
              <w:t>UEI</w:t>
            </w:r>
          </w:p>
        </w:tc>
        <w:tc>
          <w:tcPr>
            <w:tcW w:w="5270" w:type="dxa"/>
            <w:hideMark/>
          </w:tcPr>
          <w:p>
            <w:pPr>
              <w:widowControl w:val="false"/>
              <w:spacing w:after="0" w:line="240" w:lineRule="auto"/>
              <w:rPr>
                <w:rFonts w:cs="Arial"/>
              </w:rPr>
            </w:pPr>
            <w:r>
              <w:rPr>
                <w:rFonts w:cs="Arial"/>
              </w:rPr>
            </w:r>
          </w:p>
        </w:tc>
      </w:tr>
    </w:tbl>
    <w:p>
      <w:pPr>
        <w:widowControl w:val="false"/>
        <w:spacing w:after="0" w:line="240" w:lineRule="auto"/>
        <w:rPr>
          <w:b/>
          <w:vanish/>
          <w:sz w:val="24"/>
          <w:szCs w:val="24"/>
        </w:rPr>
      </w:pPr>
    </w:p>
    <w:tbl>
      <w:tblPr>
        <w:tblW w:w="5000" w:type="pct"/>
        <w:tblInd w:w="115" w:type="dxa"/>
        <w:tblLayout w:type="fixed"/>
        <w:tblCellMar>
          <w:left w:w="115" w:type="dxa"/>
          <w:right w:w="115" w:type="dxa"/>
        </w:tblCellMar>
        <w:tblLook w:firstRow="1" w:lastRow="1" w:firstColumn="1" w:lastColumn="1" w:noHBand="0" w:noVBand="0" w:val="01E0"/>
      </w:tblPr>
      <w:tblGrid>
        <w:gridCol w:w="4320"/>
        <w:gridCol w:w="5270"/>
      </w:tblGrid>
      <w:tr>
        <w:trPr>
          <w:cantSplit/>
        </w:trPr>
        <w:tc>
          <w:tcPr>
            <w:tcW w:w="4320" w:type="dxa"/>
          </w:tcPr>
          <w:p>
            <w:pPr>
              <w:tabs>
                <w:tab w:val="left" w:pos="2070"/>
              </w:tabs>
              <w:spacing w:after="0" w:line="240" w:lineRule="auto"/>
              <w:ind w:right="162"/>
            </w:pPr>
            <w:r>
              <w:rPr>
                <w:b/>
                <w:bCs/>
              </w:rPr>
              <w:t>EIN/TIN Number</w:t>
            </w:r>
          </w:p>
        </w:tc>
        <w:tc>
          <w:tcPr>
            <w:tcW w:w="5270" w:type="dxa"/>
          </w:tcPr>
          <w:p>
            <w:pPr>
              <w:widowControl w:val="false"/>
              <w:spacing w:beforeAutospacing="true" w:afterAutospacing="true"/>
              <w:rPr>
                <w:rFonts w:cs="Arial"/>
              </w:rPr>
            </w:pPr>
            <w:r>
              <w:rPr>
                <w:rFonts w:cs="Arial"/>
              </w:rPr>
              <w:t xml:space="preserve">316400223</w:t>
            </w:r>
          </w:p>
        </w:tc>
      </w:tr>
    </w:tbl>
    <w:p>
      <w:pPr>
        <w:widowControl w:val="false"/>
        <w:spacing w:after="0" w:line="240" w:lineRule="auto"/>
        <w:rPr>
          <w:b/>
          <w:vanish/>
          <w:sz w:val="24"/>
          <w:szCs w:val="24"/>
        </w:rPr>
      </w:pPr>
    </w:p>
    <w:tbl>
      <w:tblPr>
        <w:tblW w:w="5000" w:type="pct"/>
        <w:tblInd w:w="115" w:type="dxa"/>
        <w:tblLayout w:type="fixed"/>
        <w:tblCellMar>
          <w:left w:w="115" w:type="dxa"/>
          <w:right w:w="115" w:type="dxa"/>
        </w:tblCellMar>
        <w:tblLook w:firstRow="1" w:lastRow="1" w:firstColumn="1" w:lastColumn="1" w:noHBand="0" w:noVBand="0" w:val="01E0"/>
      </w:tblPr>
      <w:tblGrid>
        <w:gridCol w:w="4320"/>
        <w:gridCol w:w="5270"/>
      </w:tblGrid>
      <w:tr>
        <w:trPr>
          <w:cantSplit/>
        </w:trPr>
        <w:tc>
          <w:tcPr>
            <w:tcW w:w="4320" w:type="dxa"/>
          </w:tcPr>
          <w:p>
            <w:pPr>
              <w:tabs>
                <w:tab w:val="left" w:pos="2070"/>
              </w:tabs>
              <w:spacing w:after="0" w:line="240" w:lineRule="auto"/>
              <w:ind w:right="162"/>
            </w:pPr>
            <w:r>
              <w:rPr>
                <w:b/>
                <w:bCs/>
              </w:rPr>
              <w:t>Indentify the Field Office</w:t>
            </w:r>
          </w:p>
        </w:tc>
        <w:tc>
          <w:tcPr>
            <w:tcW w:w="5270" w:type="dxa"/>
          </w:tcPr>
          <w:p>
            <w:pPr>
              <w:widowControl w:val="false"/>
              <w:spacing w:beforeAutospacing="true" w:afterAutospacing="true"/>
              <w:rPr>
                <w:rFonts w:cs="Arial"/>
              </w:rPr>
            </w:pPr>
            <w:r>
              <w:rPr>
                <w:rFonts w:cs="Arial"/>
              </w:rPr>
              <w:t xml:space="preserve">COLUMBUS</w:t>
            </w:r>
          </w:p>
        </w:tc>
      </w:tr>
    </w:tbl>
    <w:p>
      <w:pPr>
        <w:widowControl w:val="false"/>
        <w:spacing w:after="0" w:line="240" w:lineRule="auto"/>
        <w:rPr>
          <w:b/>
          <w:vanish/>
          <w:sz w:val="24"/>
          <w:szCs w:val="24"/>
        </w:rPr>
      </w:pPr>
    </w:p>
    <w:tbl>
      <w:tblPr>
        <w:tblW w:w="5000" w:type="pct"/>
        <w:tblInd w:w="115" w:type="dxa"/>
        <w:tblLayout w:type="fixed"/>
        <w:tblCellMar>
          <w:left w:w="115" w:type="dxa"/>
          <w:right w:w="115" w:type="dxa"/>
        </w:tblCellMar>
        <w:tblLook w:firstRow="1" w:lastRow="1" w:firstColumn="1" w:lastColumn="1" w:noHBand="0" w:noVBand="0" w:val="01E0"/>
      </w:tblPr>
      <w:tblGrid>
        <w:gridCol w:w="4320"/>
        <w:gridCol w:w="5270"/>
      </w:tblGrid>
      <w:tr>
        <w:trPr>
          <w:cantSplit/>
        </w:trPr>
        <w:tc>
          <w:tcPr>
            <w:tcW w:w="4320" w:type="dxa"/>
          </w:tcPr>
          <w:p>
            <w:pPr>
              <w:tabs>
                <w:tab w:val="left" w:pos="2070"/>
              </w:tabs>
              <w:spacing w:after="0" w:line="240" w:lineRule="auto"/>
              <w:ind w:right="162"/>
            </w:pPr>
            <w:r>
              <w:rPr>
                <w:b/>
                <w:bCs/>
              </w:rPr>
              <w:t>Identify CoC(s) in which the recipient or subrecipient(s) will provide ESG assistance</w:t>
            </w:r>
          </w:p>
        </w:tc>
        <w:tc>
          <w:tcPr>
            <w:tcW w:w="5270" w:type="dxa"/>
          </w:tcPr>
          <w:p>
            <w:pPr>
              <w:widowControl w:val="false"/>
              <w:spacing w:beforeAutospacing="true" w:afterAutospacing="true"/>
              <w:rPr>
                <w:rFonts w:cs="Arial"/>
              </w:rPr>
            </w:pPr>
            <w:r>
              <w:rPr>
                <w:rFonts w:cs="Arial"/>
              </w:rPr>
              <w:t xml:space="preserve">Columbus/Franklin County CoC</w:t>
            </w:r>
          </w:p>
        </w:tc>
      </w:tr>
    </w:tbl>
    <w:p>
      <w:pPr>
        <w:widowControl w:val="false"/>
        <w:spacing w:after="0" w:line="240" w:lineRule="auto"/>
        <w:rPr>
          <w:b/>
          <w:sz w:val="24"/>
          <w:szCs w:val="24"/>
        </w:rPr>
      </w:pPr>
    </w:p>
    <w:p>
      <w:pPr>
        <w:pStyle w:val="NoSpacing"/>
        <w:keepNext/>
        <w:rPr>
          <w:b/>
          <w:u w:val="single"/>
        </w:rPr>
      </w:pPr>
      <w:r>
        <w:rPr>
          <w:b/>
          <w:u w:val="single"/>
        </w:rPr>
        <w:t xml:space="preserve">ESG Contact Name </w:t>
      </w:r>
    </w:p>
    <w:tbl>
      <w:tblPr>
        <w:tblW w:w="5000" w:type="pct"/>
        <w:tblInd w:w="115" w:type="dxa"/>
        <w:tblLayout w:type="fixed"/>
        <w:tblCellMar>
          <w:left w:w="115" w:type="dxa"/>
          <w:right w:w="115" w:type="dxa"/>
        </w:tblCellMar>
        <w:tblLook w:firstRow="1" w:lastRow="1" w:firstColumn="1" w:lastColumn="1" w:noHBand="0" w:noVBand="0" w:val="01E0"/>
      </w:tblPr>
      <w:tblGrid>
        <w:gridCol w:w="4320"/>
        <w:gridCol w:w="5270"/>
      </w:tblGrid>
      <w:tr>
        <w:trPr>
          <w:cantSplit/>
        </w:trPr>
        <w:tc>
          <w:tcPr>
            <w:tcW w:w="4320" w:type="dxa"/>
          </w:tcPr>
          <w:p>
            <w:pPr>
              <w:keepNext/>
              <w:tabs>
                <w:tab w:val="left" w:pos="2070"/>
              </w:tabs>
              <w:spacing w:after="0" w:line="240" w:lineRule="auto"/>
              <w:ind w:right="162"/>
            </w:pPr>
            <w:r>
              <w:rPr>
                <w:b/>
                <w:bCs/>
              </w:rPr>
              <w:t>Prefix</w:t>
            </w:r>
          </w:p>
        </w:tc>
        <w:tc>
          <w:tcPr>
            <w:tcW w:w="5270" w:type="dxa"/>
          </w:tcPr>
          <w:p>
            <w:pPr>
              <w:keepNext/>
              <w:widowControl w:val="false"/>
              <w:spacing w:beforeAutospacing="true" w:afterAutospacing="true"/>
              <w:rPr>
                <w:rFonts w:cs="Arial"/>
              </w:rPr>
            </w:pPr>
            <w:r>
              <w:rPr>
                <w:rFonts w:cs="Arial"/>
              </w:rPr>
              <w:t xml:space="preserve">Ms</w:t>
            </w:r>
          </w:p>
        </w:tc>
      </w:tr>
    </w:tbl>
    <w:p>
      <w:pPr>
        <w:widowControl w:val="false"/>
        <w:spacing w:after="0" w:line="240" w:lineRule="auto"/>
        <w:rPr>
          <w:b/>
          <w:vanish/>
          <w:sz w:val="24"/>
          <w:szCs w:val="24"/>
        </w:rPr>
      </w:pPr>
    </w:p>
    <w:tbl>
      <w:tblPr>
        <w:tblW w:w="5000" w:type="pct"/>
        <w:tblInd w:w="115" w:type="dxa"/>
        <w:tblLayout w:type="fixed"/>
        <w:tblCellMar>
          <w:left w:w="115" w:type="dxa"/>
          <w:right w:w="115" w:type="dxa"/>
        </w:tblCellMar>
        <w:tblLook w:firstRow="1" w:lastRow="1" w:firstColumn="1" w:lastColumn="1" w:noHBand="0" w:noVBand="0" w:val="01E0"/>
      </w:tblPr>
      <w:tblGrid>
        <w:gridCol w:w="4320"/>
        <w:gridCol w:w="5270"/>
      </w:tblGrid>
      <w:tr>
        <w:trPr>
          <w:cantSplit/>
        </w:trPr>
        <w:tc>
          <w:tcPr>
            <w:tcW w:w="4320" w:type="dxa"/>
          </w:tcPr>
          <w:p>
            <w:pPr>
              <w:tabs>
                <w:tab w:val="left" w:pos="2070"/>
              </w:tabs>
              <w:spacing w:after="0" w:line="240" w:lineRule="auto"/>
              <w:ind w:right="162"/>
            </w:pPr>
            <w:r>
              <w:rPr>
                <w:b/>
                <w:bCs/>
              </w:rPr>
              <w:t>First Name</w:t>
            </w:r>
          </w:p>
        </w:tc>
        <w:tc>
          <w:tcPr>
            <w:tcW w:w="5270" w:type="dxa"/>
          </w:tcPr>
          <w:p>
            <w:pPr>
              <w:widowControl w:val="false"/>
              <w:spacing w:beforeAutospacing="true" w:afterAutospacing="true"/>
              <w:rPr>
                <w:rFonts w:cs="Arial"/>
                <w:highlight w:val="yellow"/>
              </w:rPr>
            </w:pPr>
            <w:r>
              <w:rPr>
                <w:rFonts w:cs="Arial"/>
              </w:rPr>
              <w:t xml:space="preserve">Lucie</w:t>
            </w:r>
          </w:p>
        </w:tc>
      </w:tr>
    </w:tbl>
    <w:p>
      <w:pPr>
        <w:widowControl w:val="false"/>
        <w:spacing w:after="0" w:line="240" w:lineRule="auto"/>
        <w:rPr>
          <w:b/>
          <w:vanish/>
          <w:sz w:val="24"/>
          <w:szCs w:val="24"/>
        </w:rPr>
      </w:pPr>
    </w:p>
    <w:tbl>
      <w:tblPr>
        <w:tblW w:w="5000" w:type="pct"/>
        <w:tblInd w:w="115" w:type="dxa"/>
        <w:tblLayout w:type="fixed"/>
        <w:tblCellMar>
          <w:left w:w="115" w:type="dxa"/>
          <w:right w:w="115" w:type="dxa"/>
        </w:tblCellMar>
        <w:tblLook w:firstRow="1" w:lastRow="1" w:firstColumn="1" w:lastColumn="1" w:noHBand="0" w:noVBand="0" w:val="01E0"/>
      </w:tblPr>
      <w:tblGrid>
        <w:gridCol w:w="4320"/>
        <w:gridCol w:w="5270"/>
      </w:tblGrid>
      <w:tr>
        <w:trPr>
          <w:cantSplit/>
        </w:trPr>
        <w:tc>
          <w:tcPr>
            <w:tcW w:w="4320" w:type="dxa"/>
          </w:tcPr>
          <w:p>
            <w:pPr>
              <w:tabs>
                <w:tab w:val="left" w:pos="2070"/>
              </w:tabs>
              <w:spacing w:after="0" w:line="240" w:lineRule="auto"/>
              <w:ind w:right="162"/>
            </w:pPr>
            <w:r>
              <w:rPr>
                <w:b/>
                <w:bCs/>
              </w:rPr>
              <w:t>Middle Name</w:t>
            </w:r>
          </w:p>
        </w:tc>
        <w:tc>
          <w:tcPr>
            <w:tcW w:w="5270" w:type="dxa"/>
          </w:tcPr>
          <w:p>
            <w:pPr>
              <w:widowControl w:val="false"/>
              <w:spacing w:after="0" w:line="240" w:lineRule="auto"/>
              <w:rPr>
                <w:rFonts w:cs="Arial"/>
                <w:highlight w:val="yellow"/>
              </w:rPr>
            </w:pPr>
            <w:r>
              <w:rPr>
                <w:rFonts w:cs="Arial"/>
              </w:rPr>
            </w:r>
          </w:p>
        </w:tc>
      </w:tr>
    </w:tbl>
    <w:p>
      <w:pPr>
        <w:widowControl w:val="false"/>
        <w:spacing w:after="0" w:line="240" w:lineRule="auto"/>
        <w:rPr>
          <w:b/>
          <w:vanish/>
          <w:sz w:val="24"/>
          <w:szCs w:val="24"/>
        </w:rPr>
      </w:pPr>
    </w:p>
    <w:tbl>
      <w:tblPr>
        <w:tblW w:w="5000" w:type="pct"/>
        <w:tblInd w:w="115" w:type="dxa"/>
        <w:tblLayout w:type="fixed"/>
        <w:tblCellMar>
          <w:left w:w="115" w:type="dxa"/>
          <w:right w:w="115" w:type="dxa"/>
        </w:tblCellMar>
        <w:tblLook w:firstRow="1" w:lastRow="1" w:firstColumn="1" w:lastColumn="1" w:noHBand="0" w:noVBand="0" w:val="01E0"/>
      </w:tblPr>
      <w:tblGrid>
        <w:gridCol w:w="4320"/>
        <w:gridCol w:w="5270"/>
      </w:tblGrid>
      <w:tr>
        <w:trPr>
          <w:cantSplit/>
        </w:trPr>
        <w:tc>
          <w:tcPr>
            <w:tcW w:w="4320" w:type="dxa"/>
          </w:tcPr>
          <w:p>
            <w:pPr>
              <w:tabs>
                <w:tab w:val="left" w:pos="2070"/>
              </w:tabs>
              <w:spacing w:after="0" w:line="240" w:lineRule="auto"/>
              <w:ind w:right="162"/>
            </w:pPr>
            <w:r>
              <w:rPr>
                <w:b/>
                <w:bCs/>
              </w:rPr>
              <w:t>Last Name</w:t>
            </w:r>
          </w:p>
        </w:tc>
        <w:tc>
          <w:tcPr>
            <w:tcW w:w="5270" w:type="dxa"/>
          </w:tcPr>
          <w:p>
            <w:pPr>
              <w:widowControl w:val="false"/>
              <w:spacing w:beforeAutospacing="true" w:afterAutospacing="true"/>
              <w:rPr>
                <w:rFonts w:cs="Arial"/>
                <w:highlight w:val="yellow"/>
              </w:rPr>
            </w:pPr>
            <w:r>
              <w:rPr>
                <w:rFonts w:cs="Arial"/>
              </w:rPr>
              <w:t xml:space="preserve">McMahon</w:t>
            </w:r>
          </w:p>
        </w:tc>
      </w:tr>
    </w:tbl>
    <w:p>
      <w:pPr>
        <w:widowControl w:val="false"/>
        <w:spacing w:after="0" w:line="240" w:lineRule="auto"/>
        <w:rPr>
          <w:b/>
          <w:vanish/>
          <w:sz w:val="24"/>
          <w:szCs w:val="24"/>
        </w:rPr>
      </w:pPr>
    </w:p>
    <w:tbl>
      <w:tblPr>
        <w:tblW w:w="5000" w:type="pct"/>
        <w:tblInd w:w="115" w:type="dxa"/>
        <w:tblLayout w:type="fixed"/>
        <w:tblCellMar>
          <w:left w:w="115" w:type="dxa"/>
          <w:right w:w="115" w:type="dxa"/>
        </w:tblCellMar>
        <w:tblLook w:firstRow="1" w:lastRow="1" w:firstColumn="1" w:lastColumn="1" w:noHBand="0" w:noVBand="0" w:val="01E0"/>
      </w:tblPr>
      <w:tblGrid>
        <w:gridCol w:w="4320"/>
        <w:gridCol w:w="5270"/>
      </w:tblGrid>
      <w:tr>
        <w:trPr>
          <w:cantSplit/>
        </w:trPr>
        <w:tc>
          <w:tcPr>
            <w:tcW w:w="4320" w:type="dxa"/>
          </w:tcPr>
          <w:p>
            <w:pPr>
              <w:tabs>
                <w:tab w:val="left" w:pos="2070"/>
              </w:tabs>
              <w:spacing w:after="0" w:line="240" w:lineRule="auto"/>
              <w:ind w:right="162"/>
            </w:pPr>
            <w:r>
              <w:rPr>
                <w:b/>
                <w:bCs/>
              </w:rPr>
              <w:t>Suffix</w:t>
            </w:r>
          </w:p>
        </w:tc>
        <w:tc>
          <w:tcPr>
            <w:tcW w:w="5270" w:type="dxa"/>
          </w:tcPr>
          <w:p>
            <w:pPr>
              <w:widowControl w:val="false"/>
              <w:spacing w:after="0" w:line="240" w:lineRule="auto"/>
              <w:rPr>
                <w:rFonts w:cs="Arial"/>
                <w:highlight w:val="yellow"/>
              </w:rPr>
            </w:pPr>
            <w:r>
              <w:rPr>
                <w:rFonts w:cs="Arial"/>
              </w:rPr>
            </w:r>
          </w:p>
        </w:tc>
      </w:tr>
    </w:tbl>
    <w:p>
      <w:pPr>
        <w:widowControl w:val="false"/>
        <w:spacing w:after="0" w:line="240" w:lineRule="auto"/>
        <w:rPr>
          <w:b/>
          <w:vanish/>
          <w:sz w:val="24"/>
          <w:szCs w:val="24"/>
        </w:rPr>
      </w:pPr>
    </w:p>
    <w:tbl>
      <w:tblPr>
        <w:tblW w:w="5000" w:type="pct"/>
        <w:tblInd w:w="115" w:type="dxa"/>
        <w:tblLayout w:type="fixed"/>
        <w:tblCellMar>
          <w:left w:w="115" w:type="dxa"/>
          <w:right w:w="115" w:type="dxa"/>
        </w:tblCellMar>
        <w:tblLook w:firstRow="1" w:lastRow="1" w:firstColumn="1" w:lastColumn="1" w:noHBand="0" w:noVBand="0" w:val="01E0"/>
      </w:tblPr>
      <w:tblGrid>
        <w:gridCol w:w="4320"/>
        <w:gridCol w:w="5270"/>
      </w:tblGrid>
      <w:tr>
        <w:trPr>
          <w:cantSplit/>
        </w:trPr>
        <w:tc>
          <w:tcPr>
            <w:tcW w:w="4320" w:type="dxa"/>
          </w:tcPr>
          <w:p>
            <w:pPr>
              <w:tabs>
                <w:tab w:val="left" w:pos="2070"/>
              </w:tabs>
              <w:spacing w:after="0" w:line="240" w:lineRule="auto"/>
              <w:ind w:right="162"/>
            </w:pPr>
            <w:r>
              <w:rPr>
                <w:b/>
                <w:bCs/>
              </w:rPr>
              <w:t>Title</w:t>
            </w:r>
          </w:p>
        </w:tc>
        <w:tc>
          <w:tcPr>
            <w:tcW w:w="5270" w:type="dxa"/>
          </w:tcPr>
          <w:p>
            <w:pPr>
              <w:widowControl w:val="false"/>
              <w:spacing w:beforeAutospacing="true" w:afterAutospacing="true"/>
              <w:rPr>
                <w:rFonts w:cs="Arial"/>
                <w:highlight w:val="yellow"/>
              </w:rPr>
            </w:pPr>
            <w:r>
              <w:rPr>
                <w:rFonts w:cs="Arial"/>
              </w:rPr>
              <w:t xml:space="preserve">Grants Management Coordinator</w:t>
            </w:r>
          </w:p>
        </w:tc>
      </w:tr>
    </w:tbl>
    <w:p>
      <w:pPr>
        <w:widowControl w:val="false"/>
        <w:spacing w:after="0" w:line="240" w:lineRule="auto"/>
        <w:rPr>
          <w:b/>
          <w:sz w:val="24"/>
          <w:szCs w:val="24"/>
        </w:rPr>
      </w:pPr>
    </w:p>
    <w:p>
      <w:pPr>
        <w:widowControl w:val="false"/>
        <w:spacing w:after="0" w:line="240" w:lineRule="auto"/>
        <w:rPr>
          <w:b/>
          <w:u w:val="single"/>
        </w:rPr>
      </w:pPr>
      <w:r>
        <w:rPr>
          <w:b/>
          <w:u w:val="single"/>
        </w:rPr>
        <w:t>ESG Contact Address</w:t>
      </w:r>
    </w:p>
    <w:tbl>
      <w:tblPr>
        <w:tblW w:w="5000" w:type="pct"/>
        <w:tblInd w:w="115" w:type="dxa"/>
        <w:tblLayout w:type="fixed"/>
        <w:tblCellMar>
          <w:left w:w="115" w:type="dxa"/>
          <w:right w:w="115" w:type="dxa"/>
        </w:tblCellMar>
        <w:tblLook w:firstRow="1" w:lastRow="1" w:firstColumn="1" w:lastColumn="1" w:noHBand="0" w:noVBand="0" w:val="01E0"/>
      </w:tblPr>
      <w:tblGrid>
        <w:gridCol w:w="4320"/>
        <w:gridCol w:w="5270"/>
      </w:tblGrid>
      <w:tr>
        <w:trPr>
          <w:cantSplit/>
        </w:trPr>
        <w:tc>
          <w:tcPr>
            <w:tcW w:w="4320" w:type="dxa"/>
          </w:tcPr>
          <w:p>
            <w:pPr>
              <w:keepNext/>
              <w:tabs>
                <w:tab w:val="left" w:pos="2070"/>
              </w:tabs>
              <w:spacing w:after="0" w:line="240" w:lineRule="auto"/>
              <w:ind w:right="162"/>
            </w:pPr>
            <w:r>
              <w:rPr>
                <w:b/>
                <w:bCs/>
              </w:rPr>
              <w:t>Street Address 1</w:t>
            </w:r>
          </w:p>
        </w:tc>
        <w:tc>
          <w:tcPr>
            <w:tcW w:w="5270" w:type="dxa"/>
          </w:tcPr>
          <w:p>
            <w:pPr>
              <w:keepNext/>
              <w:widowControl w:val="false"/>
              <w:spacing w:beforeAutospacing="true" w:afterAutospacing="true"/>
              <w:rPr>
                <w:rFonts w:cs="Arial"/>
              </w:rPr>
            </w:pPr>
            <w:r>
              <w:rPr>
                <w:rFonts w:cs="Arial"/>
              </w:rPr>
              <w:t xml:space="preserve">90 W. Broad Street</w:t>
            </w:r>
          </w:p>
        </w:tc>
      </w:tr>
    </w:tbl>
    <w:p>
      <w:pPr>
        <w:widowControl w:val="false"/>
        <w:spacing w:after="0" w:line="240" w:lineRule="auto"/>
        <w:rPr>
          <w:b/>
          <w:vanish/>
          <w:sz w:val="24"/>
          <w:szCs w:val="24"/>
        </w:rPr>
      </w:pPr>
    </w:p>
    <w:tbl>
      <w:tblPr>
        <w:tblW w:w="5000" w:type="pct"/>
        <w:tblInd w:w="115" w:type="dxa"/>
        <w:tblLayout w:type="fixed"/>
        <w:tblCellMar>
          <w:left w:w="115" w:type="dxa"/>
          <w:right w:w="115" w:type="dxa"/>
        </w:tblCellMar>
        <w:tblLook w:firstRow="1" w:lastRow="1" w:firstColumn="1" w:lastColumn="1" w:noHBand="0" w:noVBand="0" w:val="01E0"/>
      </w:tblPr>
      <w:tblGrid>
        <w:gridCol w:w="4320"/>
        <w:gridCol w:w="5270"/>
      </w:tblGrid>
      <w:tr>
        <w:trPr>
          <w:cantSplit/>
        </w:trPr>
        <w:tc>
          <w:tcPr>
            <w:tcW w:w="4320" w:type="dxa"/>
          </w:tcPr>
          <w:p>
            <w:pPr>
              <w:tabs>
                <w:tab w:val="left" w:pos="2070"/>
              </w:tabs>
              <w:spacing w:after="0" w:line="240" w:lineRule="auto"/>
              <w:ind w:right="162"/>
            </w:pPr>
            <w:r>
              <w:rPr>
                <w:b/>
                <w:bCs/>
              </w:rPr>
              <w:t>Street Address 2</w:t>
            </w:r>
          </w:p>
        </w:tc>
        <w:tc>
          <w:tcPr>
            <w:tcW w:w="5270" w:type="dxa"/>
          </w:tcPr>
          <w:p>
            <w:pPr>
              <w:widowControl w:val="false"/>
              <w:spacing w:after="0" w:line="240" w:lineRule="auto"/>
              <w:rPr>
                <w:rFonts w:cs="Arial"/>
                <w:highlight w:val="yellow"/>
              </w:rPr>
            </w:pPr>
            <w:r>
              <w:rPr>
                <w:rFonts w:cs="Arial"/>
              </w:rPr>
            </w:r>
          </w:p>
        </w:tc>
      </w:tr>
    </w:tbl>
    <w:p>
      <w:pPr>
        <w:widowControl w:val="false"/>
        <w:spacing w:after="0" w:line="240" w:lineRule="auto"/>
        <w:rPr>
          <w:b/>
          <w:vanish/>
          <w:sz w:val="24"/>
          <w:szCs w:val="24"/>
        </w:rPr>
      </w:pPr>
    </w:p>
    <w:tbl>
      <w:tblPr>
        <w:tblW w:w="5000" w:type="pct"/>
        <w:tblInd w:w="115" w:type="dxa"/>
        <w:tblLayout w:type="fixed"/>
        <w:tblCellMar>
          <w:left w:w="115" w:type="dxa"/>
          <w:right w:w="115" w:type="dxa"/>
        </w:tblCellMar>
        <w:tblLook w:firstRow="1" w:lastRow="1" w:firstColumn="1" w:lastColumn="1" w:noHBand="0" w:noVBand="0" w:val="01E0"/>
      </w:tblPr>
      <w:tblGrid>
        <w:gridCol w:w="4320"/>
        <w:gridCol w:w="5270"/>
      </w:tblGrid>
      <w:tr>
        <w:trPr>
          <w:cantSplit/>
        </w:trPr>
        <w:tc>
          <w:tcPr>
            <w:tcW w:w="4320" w:type="dxa"/>
          </w:tcPr>
          <w:p>
            <w:pPr>
              <w:tabs>
                <w:tab w:val="left" w:pos="2070"/>
              </w:tabs>
              <w:spacing w:after="0" w:line="240" w:lineRule="auto"/>
              <w:ind w:right="162"/>
            </w:pPr>
            <w:r>
              <w:rPr>
                <w:b/>
                <w:bCs/>
              </w:rPr>
              <w:t>City</w:t>
            </w:r>
          </w:p>
        </w:tc>
        <w:tc>
          <w:tcPr>
            <w:tcW w:w="5270" w:type="dxa"/>
          </w:tcPr>
          <w:p>
            <w:pPr>
              <w:widowControl w:val="false"/>
              <w:spacing w:beforeAutospacing="true" w:afterAutospacing="true"/>
              <w:rPr>
                <w:rFonts w:cs="Arial"/>
                <w:highlight w:val="yellow"/>
              </w:rPr>
            </w:pPr>
            <w:r>
              <w:rPr>
                <w:rFonts w:cs="Arial"/>
              </w:rPr>
              <w:t xml:space="preserve">Columbus</w:t>
            </w:r>
          </w:p>
        </w:tc>
      </w:tr>
    </w:tbl>
    <w:p>
      <w:pPr>
        <w:widowControl w:val="false"/>
        <w:spacing w:after="0" w:line="240" w:lineRule="auto"/>
        <w:rPr>
          <w:b/>
          <w:vanish/>
          <w:sz w:val="24"/>
          <w:szCs w:val="24"/>
        </w:rPr>
      </w:pPr>
    </w:p>
    <w:tbl>
      <w:tblPr>
        <w:tblW w:w="5000" w:type="pct"/>
        <w:tblInd w:w="115" w:type="dxa"/>
        <w:tblLayout w:type="fixed"/>
        <w:tblCellMar>
          <w:left w:w="115" w:type="dxa"/>
          <w:right w:w="115" w:type="dxa"/>
        </w:tblCellMar>
        <w:tblLook w:firstRow="1" w:lastRow="1" w:firstColumn="1" w:lastColumn="1" w:noHBand="0" w:noVBand="0" w:val="01E0"/>
      </w:tblPr>
      <w:tblGrid>
        <w:gridCol w:w="4320"/>
        <w:gridCol w:w="5270"/>
      </w:tblGrid>
      <w:tr>
        <w:trPr>
          <w:cantSplit/>
        </w:trPr>
        <w:tc>
          <w:tcPr>
            <w:tcW w:w="4320" w:type="dxa"/>
          </w:tcPr>
          <w:p>
            <w:pPr>
              <w:tabs>
                <w:tab w:val="left" w:pos="2070"/>
              </w:tabs>
              <w:spacing w:after="0" w:line="240" w:lineRule="auto"/>
              <w:ind w:right="162"/>
            </w:pPr>
            <w:r>
              <w:rPr>
                <w:b/>
                <w:bCs/>
              </w:rPr>
              <w:t>State</w:t>
            </w:r>
          </w:p>
        </w:tc>
        <w:tc>
          <w:tcPr>
            <w:tcW w:w="5270" w:type="dxa"/>
          </w:tcPr>
          <w:p>
            <w:pPr>
              <w:widowControl w:val="false"/>
              <w:spacing w:beforeAutospacing="true" w:afterAutospacing="true"/>
              <w:rPr>
                <w:rFonts w:cs="Arial"/>
                <w:highlight w:val="yellow"/>
              </w:rPr>
            </w:pPr>
            <w:r>
              <w:rPr>
                <w:rFonts w:cs="Arial"/>
              </w:rPr>
              <w:t xml:space="preserve">OH</w:t>
            </w:r>
          </w:p>
        </w:tc>
      </w:tr>
    </w:tbl>
    <w:p>
      <w:pPr>
        <w:widowControl w:val="false"/>
        <w:spacing w:after="0" w:line="240" w:lineRule="auto"/>
        <w:rPr>
          <w:b/>
          <w:vanish/>
          <w:sz w:val="24"/>
          <w:szCs w:val="24"/>
        </w:rPr>
      </w:pPr>
    </w:p>
    <w:tbl>
      <w:tblPr>
        <w:tblW w:w="5000" w:type="pct"/>
        <w:tblInd w:w="115" w:type="dxa"/>
        <w:tblLayout w:type="fixed"/>
        <w:tblCellMar>
          <w:left w:w="115" w:type="dxa"/>
          <w:right w:w="115" w:type="dxa"/>
        </w:tblCellMar>
        <w:tblLook w:firstRow="1" w:lastRow="1" w:firstColumn="1" w:lastColumn="1" w:noHBand="0" w:noVBand="0" w:val="01E0"/>
      </w:tblPr>
      <w:tblGrid>
        <w:gridCol w:w="4320"/>
        <w:gridCol w:w="5270"/>
      </w:tblGrid>
      <w:tr>
        <w:trPr>
          <w:cantSplit/>
        </w:trPr>
        <w:tc>
          <w:tcPr>
            <w:tcW w:w="4320" w:type="dxa"/>
          </w:tcPr>
          <w:p>
            <w:pPr>
              <w:tabs>
                <w:tab w:val="left" w:pos="2070"/>
              </w:tabs>
              <w:spacing w:after="0" w:line="240" w:lineRule="auto"/>
              <w:ind w:right="162"/>
            </w:pPr>
            <w:r>
              <w:rPr>
                <w:b/>
                <w:bCs/>
              </w:rPr>
              <w:t>ZIP Code</w:t>
            </w:r>
          </w:p>
        </w:tc>
        <w:tc>
          <w:tcPr>
            <w:tcW w:w="5270" w:type="dxa"/>
          </w:tcPr>
          <w:p>
            <w:pPr>
              <w:widowControl w:val="false"/>
              <w:spacing w:beforeAutospacing="true" w:afterAutospacing="true"/>
              <w:rPr>
                <w:rFonts w:cs="Arial"/>
                <w:highlight w:val="yellow"/>
              </w:rPr>
            </w:pPr>
            <w:r>
              <w:rPr>
                <w:rFonts w:cs="Arial"/>
              </w:rPr>
              <w:t xml:space="preserve">-</w:t>
            </w:r>
          </w:p>
        </w:tc>
      </w:tr>
    </w:tbl>
    <w:p>
      <w:pPr>
        <w:widowControl w:val="false"/>
        <w:spacing w:after="0" w:line="240" w:lineRule="auto"/>
        <w:rPr>
          <w:b/>
          <w:vanish/>
          <w:sz w:val="24"/>
          <w:szCs w:val="24"/>
        </w:rPr>
      </w:pPr>
    </w:p>
    <w:tbl>
      <w:tblPr>
        <w:tblW w:w="5000" w:type="pct"/>
        <w:tblInd w:w="115" w:type="dxa"/>
        <w:tblLayout w:type="fixed"/>
        <w:tblCellMar>
          <w:left w:w="115" w:type="dxa"/>
          <w:right w:w="115" w:type="dxa"/>
        </w:tblCellMar>
        <w:tblLook w:firstRow="1" w:lastRow="1" w:firstColumn="1" w:lastColumn="1" w:noHBand="0" w:noVBand="0" w:val="01E0"/>
      </w:tblPr>
      <w:tblGrid>
        <w:gridCol w:w="4320"/>
        <w:gridCol w:w="5270"/>
      </w:tblGrid>
      <w:tr>
        <w:trPr>
          <w:cantSplit/>
        </w:trPr>
        <w:tc>
          <w:tcPr>
            <w:tcW w:w="4320" w:type="dxa"/>
          </w:tcPr>
          <w:p>
            <w:pPr>
              <w:tabs>
                <w:tab w:val="left" w:pos="2070"/>
              </w:tabs>
              <w:spacing w:after="0" w:line="240" w:lineRule="auto"/>
              <w:ind w:right="162"/>
            </w:pPr>
            <w:r>
              <w:rPr>
                <w:b/>
                <w:bCs/>
              </w:rPr>
              <w:t>Phone Number</w:t>
            </w:r>
          </w:p>
        </w:tc>
        <w:tc>
          <w:tcPr>
            <w:tcW w:w="5270" w:type="dxa"/>
          </w:tcPr>
          <w:p>
            <w:pPr>
              <w:widowControl w:val="false"/>
              <w:spacing w:beforeAutospacing="true" w:afterAutospacing="true"/>
              <w:rPr>
                <w:rFonts w:cs="Arial"/>
                <w:highlight w:val="yellow"/>
              </w:rPr>
            </w:pPr>
            <w:r>
              <w:rPr>
                <w:rFonts w:cs="Arial"/>
              </w:rPr>
              <w:t xml:space="preserve">6146457492</w:t>
            </w:r>
          </w:p>
        </w:tc>
      </w:tr>
    </w:tbl>
    <w:p>
      <w:pPr>
        <w:widowControl w:val="false"/>
        <w:spacing w:after="0" w:line="240" w:lineRule="auto"/>
        <w:rPr>
          <w:b/>
          <w:vanish/>
          <w:sz w:val="24"/>
          <w:szCs w:val="24"/>
        </w:rPr>
      </w:pPr>
    </w:p>
    <w:tbl>
      <w:tblPr>
        <w:tblW w:w="5000" w:type="pct"/>
        <w:tblInd w:w="115" w:type="dxa"/>
        <w:tblLayout w:type="fixed"/>
        <w:tblCellMar>
          <w:left w:w="115" w:type="dxa"/>
          <w:right w:w="115" w:type="dxa"/>
        </w:tblCellMar>
        <w:tblLook w:firstRow="1" w:lastRow="1" w:firstColumn="1" w:lastColumn="1" w:noHBand="0" w:noVBand="0" w:val="01E0"/>
      </w:tblPr>
      <w:tblGrid>
        <w:gridCol w:w="4320"/>
        <w:gridCol w:w="5270"/>
      </w:tblGrid>
      <w:tr>
        <w:trPr>
          <w:cantSplit/>
        </w:trPr>
        <w:tc>
          <w:tcPr>
            <w:tcW w:w="4320" w:type="dxa"/>
          </w:tcPr>
          <w:p>
            <w:pPr>
              <w:tabs>
                <w:tab w:val="left" w:pos="2070"/>
              </w:tabs>
              <w:spacing w:after="0" w:line="240" w:lineRule="auto"/>
              <w:ind w:right="162"/>
            </w:pPr>
            <w:r>
              <w:rPr>
                <w:b/>
                <w:bCs/>
              </w:rPr>
              <w:t>Extension</w:t>
            </w:r>
          </w:p>
        </w:tc>
        <w:tc>
          <w:tcPr>
            <w:tcW w:w="5270" w:type="dxa"/>
          </w:tcPr>
          <w:p>
            <w:pPr>
              <w:widowControl w:val="false"/>
              <w:spacing w:after="0" w:line="240" w:lineRule="auto"/>
              <w:rPr>
                <w:rFonts w:cs="Arial"/>
                <w:highlight w:val="yellow"/>
              </w:rPr>
            </w:pPr>
            <w:r>
              <w:rPr>
                <w:rFonts w:cs="Arial"/>
              </w:rPr>
            </w:r>
          </w:p>
        </w:tc>
      </w:tr>
    </w:tbl>
    <w:p>
      <w:pPr>
        <w:widowControl w:val="false"/>
        <w:spacing w:after="0" w:line="240" w:lineRule="auto"/>
        <w:rPr>
          <w:b/>
          <w:vanish/>
          <w:sz w:val="24"/>
          <w:szCs w:val="24"/>
        </w:rPr>
      </w:pPr>
    </w:p>
    <w:tbl>
      <w:tblPr>
        <w:tblW w:w="5000" w:type="pct"/>
        <w:tblInd w:w="115" w:type="dxa"/>
        <w:tblLayout w:type="fixed"/>
        <w:tblCellMar>
          <w:left w:w="115" w:type="dxa"/>
          <w:right w:w="115" w:type="dxa"/>
        </w:tblCellMar>
        <w:tblLook w:firstRow="1" w:lastRow="1" w:firstColumn="1" w:lastColumn="1" w:noHBand="0" w:noVBand="0" w:val="01E0"/>
      </w:tblPr>
      <w:tblGrid>
        <w:gridCol w:w="4320"/>
        <w:gridCol w:w="5270"/>
      </w:tblGrid>
      <w:tr>
        <w:trPr>
          <w:cantSplit/>
        </w:trPr>
        <w:tc>
          <w:tcPr>
            <w:tcW w:w="4320" w:type="dxa"/>
          </w:tcPr>
          <w:p>
            <w:pPr>
              <w:tabs>
                <w:tab w:val="left" w:pos="2070"/>
              </w:tabs>
              <w:spacing w:after="0" w:line="240" w:lineRule="auto"/>
              <w:ind w:right="162"/>
            </w:pPr>
            <w:r>
              <w:rPr>
                <w:b/>
                <w:bCs/>
              </w:rPr>
              <w:t>Fax Number</w:t>
            </w:r>
          </w:p>
        </w:tc>
        <w:tc>
          <w:tcPr>
            <w:tcW w:w="5270" w:type="dxa"/>
          </w:tcPr>
          <w:p>
            <w:pPr>
              <w:widowControl w:val="false"/>
              <w:spacing w:after="0" w:line="240" w:lineRule="auto"/>
              <w:rPr>
                <w:rFonts w:cs="Arial"/>
                <w:highlight w:val="yellow"/>
              </w:rPr>
            </w:pPr>
            <w:r>
              <w:rPr>
                <w:rFonts w:cs="Arial"/>
              </w:rPr>
            </w:r>
          </w:p>
        </w:tc>
      </w:tr>
    </w:tbl>
    <w:p>
      <w:pPr>
        <w:widowControl w:val="false"/>
        <w:spacing w:after="0" w:line="240" w:lineRule="auto"/>
        <w:rPr>
          <w:b/>
          <w:vanish/>
          <w:sz w:val="24"/>
          <w:szCs w:val="24"/>
        </w:rPr>
      </w:pPr>
    </w:p>
    <w:tbl>
      <w:tblPr>
        <w:tblW w:w="5000" w:type="pct"/>
        <w:tblInd w:w="115" w:type="dxa"/>
        <w:tblLayout w:type="fixed"/>
        <w:tblCellMar>
          <w:left w:w="115" w:type="dxa"/>
          <w:right w:w="115" w:type="dxa"/>
        </w:tblCellMar>
        <w:tblLook w:firstRow="1" w:lastRow="1" w:firstColumn="1" w:lastColumn="1" w:noHBand="0" w:noVBand="0" w:val="01E0"/>
      </w:tblPr>
      <w:tblGrid>
        <w:gridCol w:w="4320"/>
        <w:gridCol w:w="5270"/>
      </w:tblGrid>
      <w:tr>
        <w:trPr>
          <w:cantSplit/>
        </w:trPr>
        <w:tc>
          <w:tcPr>
            <w:tcW w:w="4320" w:type="dxa"/>
          </w:tcPr>
          <w:p>
            <w:pPr>
              <w:tabs>
                <w:tab w:val="left" w:pos="2070"/>
              </w:tabs>
              <w:spacing w:after="0" w:line="240" w:lineRule="auto"/>
              <w:ind w:right="162"/>
            </w:pPr>
            <w:r>
              <w:rPr>
                <w:b/>
                <w:bCs/>
              </w:rPr>
              <w:t>Email Address</w:t>
            </w:r>
          </w:p>
        </w:tc>
        <w:tc>
          <w:tcPr>
            <w:tcW w:w="5270" w:type="dxa"/>
          </w:tcPr>
          <w:p>
            <w:pPr>
              <w:widowControl w:val="false"/>
              <w:spacing w:beforeAutospacing="true" w:afterAutospacing="true"/>
              <w:rPr>
                <w:rFonts w:cs="Arial"/>
                <w:highlight w:val="yellow"/>
              </w:rPr>
            </w:pPr>
            <w:r>
              <w:rPr>
                <w:rFonts w:cs="Arial"/>
              </w:rPr>
              <w:t xml:space="preserve">LMMcMahon@columbus.gov</w:t>
            </w:r>
          </w:p>
        </w:tc>
      </w:tr>
    </w:tbl>
    <w:p>
      <w:pPr>
        <w:widowControl w:val="false"/>
        <w:spacing w:after="0" w:line="240" w:lineRule="auto"/>
        <w:rPr>
          <w:b/>
          <w:sz w:val="24"/>
          <w:szCs w:val="24"/>
        </w:rPr>
      </w:pPr>
    </w:p>
    <w:p>
      <w:pPr>
        <w:widowControl w:val="false"/>
        <w:spacing w:after="0" w:line="240" w:lineRule="auto"/>
        <w:rPr>
          <w:b/>
          <w:sz w:val="24"/>
          <w:szCs w:val="24"/>
        </w:rPr>
      </w:pPr>
      <w:r>
        <w:rPr>
          <w:b/>
          <w:u w:val="single"/>
        </w:rPr>
        <w:t>ESG Secondary Contact</w:t>
      </w:r>
    </w:p>
    <w:tbl>
      <w:tblPr>
        <w:tblW w:w="5000" w:type="pct"/>
        <w:tblInd w:w="115" w:type="dxa"/>
        <w:tblLayout w:type="fixed"/>
        <w:tblCellMar>
          <w:left w:w="115" w:type="dxa"/>
          <w:right w:w="115" w:type="dxa"/>
        </w:tblCellMar>
        <w:tblLook w:firstRow="1" w:lastRow="1" w:firstColumn="1" w:lastColumn="1" w:noHBand="0" w:noVBand="0" w:val="01E0"/>
      </w:tblPr>
      <w:tblGrid>
        <w:gridCol w:w="4320"/>
        <w:gridCol w:w="5270"/>
      </w:tblGrid>
      <w:tr>
        <w:trPr>
          <w:cantSplit/>
        </w:trPr>
        <w:tc>
          <w:tcPr>
            <w:tcW w:w="4320" w:type="dxa"/>
          </w:tcPr>
          <w:p>
            <w:pPr>
              <w:keepNext/>
              <w:tabs>
                <w:tab w:val="left" w:pos="2070"/>
              </w:tabs>
              <w:spacing w:after="0" w:line="240" w:lineRule="auto"/>
              <w:ind w:right="162"/>
            </w:pPr>
            <w:r>
              <w:rPr>
                <w:b/>
                <w:bCs/>
              </w:rPr>
              <w:t>Prefix</w:t>
            </w:r>
          </w:p>
        </w:tc>
        <w:tc>
          <w:tcPr>
            <w:tcW w:w="5270" w:type="dxa"/>
          </w:tcPr>
          <w:p>
            <w:pPr>
              <w:keepNext/>
              <w:widowControl w:val="false"/>
              <w:spacing w:beforeAutospacing="true" w:afterAutospacing="true"/>
              <w:rPr>
                <w:rFonts w:cs="Arial"/>
              </w:rPr>
            </w:pPr>
            <w:r>
              <w:rPr>
                <w:rFonts w:cs="Arial"/>
              </w:rPr>
              <w:t xml:space="preserve">Ms</w:t>
            </w:r>
          </w:p>
        </w:tc>
      </w:tr>
    </w:tbl>
    <w:p>
      <w:pPr>
        <w:widowControl w:val="false"/>
        <w:spacing w:after="0" w:line="240" w:lineRule="auto"/>
        <w:rPr>
          <w:b/>
          <w:vanish/>
          <w:sz w:val="24"/>
          <w:szCs w:val="24"/>
        </w:rPr>
      </w:pPr>
    </w:p>
    <w:tbl>
      <w:tblPr>
        <w:tblW w:w="5000" w:type="pct"/>
        <w:tblInd w:w="115" w:type="dxa"/>
        <w:tblLayout w:type="fixed"/>
        <w:tblCellMar>
          <w:left w:w="115" w:type="dxa"/>
          <w:right w:w="115" w:type="dxa"/>
        </w:tblCellMar>
        <w:tblLook w:firstRow="1" w:lastRow="1" w:firstColumn="1" w:lastColumn="1" w:noHBand="0" w:noVBand="0" w:val="01E0"/>
      </w:tblPr>
      <w:tblGrid>
        <w:gridCol w:w="4320"/>
        <w:gridCol w:w="5270"/>
      </w:tblGrid>
      <w:tr>
        <w:trPr>
          <w:cantSplit/>
        </w:trPr>
        <w:tc>
          <w:tcPr>
            <w:tcW w:w="4320" w:type="dxa"/>
          </w:tcPr>
          <w:p>
            <w:pPr>
              <w:tabs>
                <w:tab w:val="left" w:pos="2070"/>
              </w:tabs>
              <w:spacing w:after="0" w:line="240" w:lineRule="auto"/>
              <w:ind w:right="162"/>
            </w:pPr>
            <w:r>
              <w:rPr>
                <w:b/>
                <w:bCs/>
              </w:rPr>
              <w:t>First Name</w:t>
            </w:r>
          </w:p>
        </w:tc>
        <w:tc>
          <w:tcPr>
            <w:tcW w:w="5270" w:type="dxa"/>
          </w:tcPr>
          <w:p>
            <w:pPr>
              <w:widowControl w:val="false"/>
              <w:spacing w:beforeAutospacing="true" w:afterAutospacing="true"/>
              <w:rPr>
                <w:rFonts w:cs="Arial"/>
                <w:highlight w:val="yellow"/>
              </w:rPr>
            </w:pPr>
            <w:r>
              <w:rPr>
                <w:rFonts w:cs="Arial"/>
              </w:rPr>
              <w:t xml:space="preserve">Emerald</w:t>
            </w:r>
          </w:p>
        </w:tc>
      </w:tr>
    </w:tbl>
    <w:p>
      <w:pPr>
        <w:widowControl w:val="false"/>
        <w:spacing w:after="0" w:line="240" w:lineRule="auto"/>
        <w:rPr>
          <w:b/>
          <w:vanish/>
          <w:sz w:val="24"/>
          <w:szCs w:val="24"/>
        </w:rPr>
      </w:pPr>
    </w:p>
    <w:tbl>
      <w:tblPr>
        <w:tblW w:w="5000" w:type="pct"/>
        <w:tblInd w:w="115" w:type="dxa"/>
        <w:tblLayout w:type="fixed"/>
        <w:tblCellMar>
          <w:left w:w="115" w:type="dxa"/>
          <w:right w:w="115" w:type="dxa"/>
        </w:tblCellMar>
        <w:tblLook w:firstRow="1" w:lastRow="1" w:firstColumn="1" w:lastColumn="1" w:noHBand="0" w:noVBand="0" w:val="01E0"/>
      </w:tblPr>
      <w:tblGrid>
        <w:gridCol w:w="4320"/>
        <w:gridCol w:w="5270"/>
      </w:tblGrid>
      <w:tr>
        <w:trPr>
          <w:cantSplit/>
        </w:trPr>
        <w:tc>
          <w:tcPr>
            <w:tcW w:w="4320" w:type="dxa"/>
          </w:tcPr>
          <w:p>
            <w:pPr>
              <w:tabs>
                <w:tab w:val="left" w:pos="2070"/>
              </w:tabs>
              <w:spacing w:after="0" w:line="240" w:lineRule="auto"/>
              <w:ind w:right="162"/>
            </w:pPr>
            <w:r>
              <w:rPr>
                <w:b/>
                <w:bCs/>
              </w:rPr>
              <w:t>Last Name</w:t>
            </w:r>
          </w:p>
        </w:tc>
        <w:tc>
          <w:tcPr>
            <w:tcW w:w="5270" w:type="dxa"/>
          </w:tcPr>
          <w:p>
            <w:pPr>
              <w:widowControl w:val="false"/>
              <w:spacing w:beforeAutospacing="true" w:afterAutospacing="true"/>
              <w:rPr>
                <w:rFonts w:cs="Arial"/>
                <w:highlight w:val="yellow"/>
              </w:rPr>
            </w:pPr>
            <w:r>
              <w:rPr>
                <w:rFonts w:cs="Arial"/>
              </w:rPr>
              <w:t xml:space="preserve">HernÃ¡ndez-Parra</w:t>
            </w:r>
          </w:p>
        </w:tc>
      </w:tr>
    </w:tbl>
    <w:p>
      <w:pPr>
        <w:widowControl w:val="false"/>
        <w:spacing w:after="0" w:line="240" w:lineRule="auto"/>
        <w:rPr>
          <w:b/>
          <w:vanish/>
          <w:sz w:val="24"/>
          <w:szCs w:val="24"/>
        </w:rPr>
      </w:pPr>
    </w:p>
    <w:tbl>
      <w:tblPr>
        <w:tblW w:w="5000" w:type="pct"/>
        <w:tblInd w:w="115" w:type="dxa"/>
        <w:tblLayout w:type="fixed"/>
        <w:tblCellMar>
          <w:left w:w="115" w:type="dxa"/>
          <w:right w:w="115" w:type="dxa"/>
        </w:tblCellMar>
        <w:tblLook w:firstRow="1" w:lastRow="1" w:firstColumn="1" w:lastColumn="1" w:noHBand="0" w:noVBand="0" w:val="01E0"/>
      </w:tblPr>
      <w:tblGrid>
        <w:gridCol w:w="4320"/>
        <w:gridCol w:w="5270"/>
      </w:tblGrid>
      <w:tr>
        <w:trPr>
          <w:cantSplit/>
        </w:trPr>
        <w:tc>
          <w:tcPr>
            <w:tcW w:w="4320" w:type="dxa"/>
          </w:tcPr>
          <w:p>
            <w:pPr>
              <w:tabs>
                <w:tab w:val="left" w:pos="2070"/>
              </w:tabs>
              <w:spacing w:after="0" w:line="240" w:lineRule="auto"/>
              <w:ind w:right="162"/>
            </w:pPr>
            <w:r>
              <w:rPr>
                <w:b/>
                <w:bCs/>
              </w:rPr>
              <w:t>Suffix</w:t>
            </w:r>
          </w:p>
        </w:tc>
        <w:tc>
          <w:tcPr>
            <w:tcW w:w="5270" w:type="dxa"/>
          </w:tcPr>
          <w:p>
            <w:pPr>
              <w:widowControl w:val="false"/>
              <w:spacing w:after="0" w:line="240" w:lineRule="auto"/>
              <w:rPr>
                <w:rFonts w:cs="Arial"/>
                <w:highlight w:val="yellow"/>
              </w:rPr>
            </w:pPr>
            <w:r>
              <w:rPr>
                <w:rFonts w:cs="Arial"/>
              </w:rPr>
            </w:r>
          </w:p>
        </w:tc>
      </w:tr>
    </w:tbl>
    <w:p>
      <w:pPr>
        <w:widowControl w:val="false"/>
        <w:spacing w:after="0" w:line="240" w:lineRule="auto"/>
        <w:rPr>
          <w:b/>
          <w:vanish/>
          <w:sz w:val="24"/>
          <w:szCs w:val="24"/>
        </w:rPr>
      </w:pPr>
    </w:p>
    <w:tbl>
      <w:tblPr>
        <w:tblW w:w="5000" w:type="pct"/>
        <w:tblInd w:w="115" w:type="dxa"/>
        <w:tblLayout w:type="fixed"/>
        <w:tblCellMar>
          <w:left w:w="115" w:type="dxa"/>
          <w:right w:w="115" w:type="dxa"/>
        </w:tblCellMar>
        <w:tblLook w:firstRow="1" w:lastRow="1" w:firstColumn="1" w:lastColumn="1" w:noHBand="0" w:noVBand="0" w:val="01E0"/>
      </w:tblPr>
      <w:tblGrid>
        <w:gridCol w:w="4320"/>
        <w:gridCol w:w="5270"/>
      </w:tblGrid>
      <w:tr>
        <w:trPr>
          <w:cantSplit/>
        </w:trPr>
        <w:tc>
          <w:tcPr>
            <w:tcW w:w="4320" w:type="dxa"/>
          </w:tcPr>
          <w:p>
            <w:pPr>
              <w:tabs>
                <w:tab w:val="left" w:pos="2070"/>
              </w:tabs>
              <w:spacing w:after="0" w:line="240" w:lineRule="auto"/>
              <w:ind w:right="162"/>
            </w:pPr>
            <w:r>
              <w:rPr>
                <w:b/>
                <w:bCs/>
              </w:rPr>
              <w:t>Title</w:t>
            </w:r>
          </w:p>
        </w:tc>
        <w:tc>
          <w:tcPr>
            <w:tcW w:w="5270" w:type="dxa"/>
          </w:tcPr>
          <w:p>
            <w:pPr>
              <w:widowControl w:val="false"/>
              <w:spacing w:beforeAutospacing="true" w:afterAutospacing="true"/>
              <w:rPr>
                <w:rFonts w:cs="Arial"/>
                <w:highlight w:val="yellow"/>
              </w:rPr>
            </w:pPr>
            <w:r>
              <w:rPr>
                <w:rFonts w:cs="Arial"/>
              </w:rPr>
              <w:t xml:space="preserve">Assistant Director, Special Projects</w:t>
            </w:r>
          </w:p>
        </w:tc>
      </w:tr>
    </w:tbl>
    <w:p>
      <w:pPr>
        <w:widowControl w:val="false"/>
        <w:spacing w:after="0" w:line="240" w:lineRule="auto"/>
        <w:rPr>
          <w:b/>
          <w:vanish/>
          <w:sz w:val="24"/>
          <w:szCs w:val="24"/>
        </w:rPr>
      </w:pPr>
    </w:p>
    <w:tbl>
      <w:tblPr>
        <w:tblW w:w="5000" w:type="pct"/>
        <w:tblInd w:w="115" w:type="dxa"/>
        <w:tblLayout w:type="fixed"/>
        <w:tblCellMar>
          <w:left w:w="115" w:type="dxa"/>
          <w:right w:w="115" w:type="dxa"/>
        </w:tblCellMar>
        <w:tblLook w:firstRow="1" w:lastRow="1" w:firstColumn="1" w:lastColumn="1" w:noHBand="0" w:noVBand="0" w:val="01E0"/>
      </w:tblPr>
      <w:tblGrid>
        <w:gridCol w:w="4320"/>
        <w:gridCol w:w="5270"/>
      </w:tblGrid>
      <w:tr>
        <w:trPr>
          <w:cantSplit/>
        </w:trPr>
        <w:tc>
          <w:tcPr>
            <w:tcW w:w="4320" w:type="dxa"/>
          </w:tcPr>
          <w:p>
            <w:pPr>
              <w:tabs>
                <w:tab w:val="left" w:pos="2070"/>
              </w:tabs>
              <w:spacing w:after="0" w:line="240" w:lineRule="auto"/>
              <w:ind w:right="162"/>
            </w:pPr>
            <w:r>
              <w:rPr>
                <w:b/>
                <w:bCs/>
              </w:rPr>
              <w:t>Phone Number</w:t>
            </w:r>
          </w:p>
        </w:tc>
        <w:tc>
          <w:tcPr>
            <w:tcW w:w="5270" w:type="dxa"/>
          </w:tcPr>
          <w:p>
            <w:pPr>
              <w:widowControl w:val="false"/>
              <w:spacing w:beforeAutospacing="true" w:afterAutospacing="true"/>
              <w:rPr>
                <w:rFonts w:cs="Arial"/>
                <w:highlight w:val="yellow"/>
              </w:rPr>
            </w:pPr>
            <w:r>
              <w:rPr>
                <w:rFonts w:cs="Arial"/>
              </w:rPr>
              <w:t xml:space="preserve">6146686459</w:t>
            </w:r>
          </w:p>
        </w:tc>
      </w:tr>
    </w:tbl>
    <w:p>
      <w:pPr>
        <w:widowControl w:val="false"/>
        <w:spacing w:after="0" w:line="240" w:lineRule="auto"/>
        <w:rPr>
          <w:b/>
          <w:vanish/>
          <w:sz w:val="24"/>
          <w:szCs w:val="24"/>
        </w:rPr>
      </w:pPr>
    </w:p>
    <w:tbl>
      <w:tblPr>
        <w:tblW w:w="5000" w:type="pct"/>
        <w:tblInd w:w="115" w:type="dxa"/>
        <w:tblLayout w:type="fixed"/>
        <w:tblCellMar>
          <w:left w:w="115" w:type="dxa"/>
          <w:right w:w="115" w:type="dxa"/>
        </w:tblCellMar>
        <w:tblLook w:firstRow="1" w:lastRow="1" w:firstColumn="1" w:lastColumn="1" w:noHBand="0" w:noVBand="0" w:val="01E0"/>
      </w:tblPr>
      <w:tblGrid>
        <w:gridCol w:w="4320"/>
        <w:gridCol w:w="5270"/>
      </w:tblGrid>
      <w:tr>
        <w:trPr>
          <w:cantSplit/>
        </w:trPr>
        <w:tc>
          <w:tcPr>
            <w:tcW w:w="4320" w:type="dxa"/>
          </w:tcPr>
          <w:p>
            <w:pPr>
              <w:tabs>
                <w:tab w:val="left" w:pos="2070"/>
              </w:tabs>
              <w:spacing w:after="0" w:line="240" w:lineRule="auto"/>
              <w:ind w:right="162"/>
            </w:pPr>
            <w:r>
              <w:rPr>
                <w:b/>
                <w:bCs/>
              </w:rPr>
              <w:t>Extension</w:t>
            </w:r>
          </w:p>
        </w:tc>
        <w:tc>
          <w:tcPr>
            <w:tcW w:w="5270" w:type="dxa"/>
          </w:tcPr>
          <w:p>
            <w:pPr>
              <w:widowControl w:val="false"/>
              <w:spacing w:after="0" w:line="240" w:lineRule="auto"/>
              <w:rPr>
                <w:rFonts w:cs="Arial"/>
                <w:highlight w:val="yellow"/>
              </w:rPr>
            </w:pPr>
            <w:r>
              <w:rPr>
                <w:rFonts w:cs="Arial"/>
              </w:rPr>
            </w:r>
          </w:p>
        </w:tc>
      </w:tr>
    </w:tbl>
    <w:p>
      <w:pPr>
        <w:widowControl w:val="false"/>
        <w:spacing w:after="0" w:line="240" w:lineRule="auto"/>
        <w:rPr>
          <w:b/>
          <w:vanish/>
          <w:sz w:val="24"/>
          <w:szCs w:val="24"/>
        </w:rPr>
      </w:pPr>
    </w:p>
    <w:tbl>
      <w:tblPr>
        <w:tblW w:w="5000" w:type="pct"/>
        <w:tblInd w:w="115" w:type="dxa"/>
        <w:tblLayout w:type="fixed"/>
        <w:tblCellMar>
          <w:left w:w="115" w:type="dxa"/>
          <w:right w:w="115" w:type="dxa"/>
        </w:tblCellMar>
        <w:tblLook w:firstRow="1" w:lastRow="1" w:firstColumn="1" w:lastColumn="1" w:noHBand="0" w:noVBand="0" w:val="01E0"/>
      </w:tblPr>
      <w:tblGrid>
        <w:gridCol w:w="4320"/>
        <w:gridCol w:w="5270"/>
      </w:tblGrid>
      <w:tr>
        <w:trPr>
          <w:cantSplit/>
        </w:trPr>
        <w:tc>
          <w:tcPr>
            <w:tcW w:w="4320" w:type="dxa"/>
          </w:tcPr>
          <w:p>
            <w:pPr>
              <w:tabs>
                <w:tab w:val="left" w:pos="2070"/>
              </w:tabs>
              <w:spacing w:after="0" w:line="240" w:lineRule="auto"/>
              <w:ind w:right="162"/>
            </w:pPr>
            <w:r>
              <w:rPr>
                <w:b/>
                <w:bCs/>
              </w:rPr>
              <w:t>Email Address</w:t>
            </w:r>
          </w:p>
        </w:tc>
        <w:tc>
          <w:tcPr>
            <w:tcW w:w="5270" w:type="dxa"/>
          </w:tcPr>
          <w:p>
            <w:pPr>
              <w:widowControl w:val="false"/>
              <w:spacing w:beforeAutospacing="true" w:afterAutospacing="true"/>
              <w:rPr>
                <w:rFonts w:cs="Arial"/>
                <w:highlight w:val="yellow"/>
              </w:rPr>
            </w:pPr>
            <w:r>
              <w:rPr>
                <w:rFonts w:cs="Arial"/>
              </w:rPr>
              <w:t xml:space="preserve">ELHernandezParra@columbus.gov</w:t>
            </w:r>
          </w:p>
        </w:tc>
      </w:tr>
    </w:tbl>
    <w:p>
      <w:pPr>
        <w:widowControl w:val="false"/>
        <w:spacing w:after="0" w:line="240" w:lineRule="auto"/>
        <w:rPr>
          <w:b/>
          <w:sz w:val="24"/>
          <w:szCs w:val="24"/>
        </w:rPr>
      </w:pPr>
    </w:p>
    <w:p>
      <w:pPr>
        <w:widowControl w:val="false"/>
        <w:rPr>
          <w:b/>
          <w:sz w:val="24"/>
          <w:szCs w:val="24"/>
        </w:rPr>
      </w:pPr>
      <w:r>
        <w:rPr>
          <w:b/>
          <w:sz w:val="24"/>
          <w:szCs w:val="24"/>
        </w:rPr>
        <w:t xml:space="preserve">2. Reporting Period—All Recipients Complete </w:t>
      </w:r>
    </w:p>
    <w:tbl>
      <w:tblPr>
        <w:tblW w:w="5000" w:type="pct"/>
        <w:tblInd w:w="115" w:type="dxa"/>
        <w:tblLayout w:type="fixed"/>
        <w:tblCellMar>
          <w:left w:w="115" w:type="dxa"/>
          <w:right w:w="115" w:type="dxa"/>
        </w:tblCellMar>
        <w:tblLook w:firstRow="1" w:lastRow="1" w:firstColumn="1" w:lastColumn="1" w:noHBand="0" w:noVBand="0" w:val="01E0"/>
      </w:tblPr>
      <w:tblGrid>
        <w:gridCol w:w="4320"/>
        <w:gridCol w:w="5270"/>
      </w:tblGrid>
      <w:tr>
        <w:trPr>
          <w:cantSplit/>
        </w:trPr>
        <w:tc>
          <w:tcPr>
            <w:tcW w:w="4320" w:type="dxa"/>
          </w:tcPr>
          <w:p>
            <w:pPr>
              <w:keepNext/>
              <w:tabs>
                <w:tab w:val="left" w:pos="2070"/>
              </w:tabs>
              <w:spacing w:after="0" w:line="240" w:lineRule="auto"/>
              <w:ind w:right="162"/>
            </w:pPr>
            <w:r>
              <w:rPr>
                <w:b/>
                <w:bCs/>
              </w:rPr>
              <w:t>Program Year Start Date</w:t>
            </w:r>
          </w:p>
        </w:tc>
        <w:tc>
          <w:tcPr>
            <w:tcW w:w="5270" w:type="dxa"/>
          </w:tcPr>
          <w:p>
            <w:pPr>
              <w:keepNext/>
              <w:widowControl w:val="false"/>
              <w:spacing w:beforeAutospacing="true" w:afterAutospacing="true"/>
              <w:rPr>
                <w:rFonts w:cs="Arial"/>
              </w:rPr>
            </w:pPr>
            <w:r>
              <w:rPr>
                <w:rFonts w:cs="Arial"/>
              </w:rPr>
              <w:t xml:space="preserve">01/01/2019</w:t>
            </w:r>
          </w:p>
        </w:tc>
      </w:tr>
    </w:tbl>
    <w:p>
      <w:pPr>
        <w:widowControl w:val="false"/>
        <w:spacing w:after="0" w:line="240" w:lineRule="auto"/>
        <w:rPr>
          <w:b/>
          <w:vanish/>
          <w:sz w:val="24"/>
          <w:szCs w:val="24"/>
        </w:rPr>
      </w:pPr>
    </w:p>
    <w:tbl>
      <w:tblPr>
        <w:tblW w:w="5000" w:type="pct"/>
        <w:tblInd w:w="115" w:type="dxa"/>
        <w:tblLayout w:type="fixed"/>
        <w:tblCellMar>
          <w:left w:w="115" w:type="dxa"/>
          <w:right w:w="115" w:type="dxa"/>
        </w:tblCellMar>
        <w:tblLook w:firstRow="1" w:lastRow="1" w:firstColumn="1" w:lastColumn="1" w:noHBand="0" w:noVBand="0" w:val="01E0"/>
      </w:tblPr>
      <w:tblGrid>
        <w:gridCol w:w="4320"/>
        <w:gridCol w:w="5270"/>
      </w:tblGrid>
      <w:tr>
        <w:trPr>
          <w:cantSplit/>
        </w:trPr>
        <w:tc>
          <w:tcPr>
            <w:tcW w:w="4320" w:type="dxa"/>
          </w:tcPr>
          <w:p>
            <w:pPr>
              <w:tabs>
                <w:tab w:val="left" w:pos="2070"/>
              </w:tabs>
              <w:spacing w:after="0" w:line="240" w:lineRule="auto"/>
              <w:ind w:right="162"/>
            </w:pPr>
            <w:r>
              <w:rPr>
                <w:b/>
                <w:bCs/>
              </w:rPr>
              <w:t>Program Year End Date</w:t>
            </w:r>
          </w:p>
        </w:tc>
        <w:tc>
          <w:tcPr>
            <w:tcW w:w="5270" w:type="dxa"/>
          </w:tcPr>
          <w:p>
            <w:pPr>
              <w:widowControl w:val="false"/>
              <w:spacing w:beforeAutospacing="true" w:afterAutospacing="true"/>
              <w:rPr>
                <w:rFonts w:cs="Arial"/>
                <w:highlight w:val="yellow"/>
              </w:rPr>
            </w:pPr>
            <w:r>
              <w:rPr>
                <w:rFonts w:cs="Arial"/>
              </w:rPr>
              <w:t xml:space="preserve">12/31/2019</w:t>
            </w:r>
          </w:p>
        </w:tc>
      </w:tr>
    </w:tbl>
    <w:p>
      <w:pPr>
        <w:widowControl w:val="false"/>
        <w:rPr>
          <w:b/>
          <w:sz w:val="24"/>
          <w:szCs w:val="24"/>
        </w:rPr>
      </w:pPr>
    </w:p>
    <w:p>
      <w:pPr>
        <w:keepNext/>
        <w:widowControl w:val="false"/>
        <w:rPr>
          <w:b/>
          <w:sz w:val="24"/>
          <w:szCs w:val="24"/>
        </w:rPr>
      </w:pPr>
      <w:r>
        <w:rPr>
          <w:b/>
          <w:sz w:val="24"/>
          <w:szCs w:val="24"/>
        </w:rPr>
        <w:t>3a. Subrecipient Form – Complete one form for each subrecipient</w:t>
      </w:r>
    </w:p>
    <w:tbl>
      <w:tblPr>
        <w:tblW w:w="5000" w:type="pct"/>
        <w:tblInd w:w="115" w:type="dxa"/>
        <w:tblLayout w:type="fixed"/>
        <w:tblCellMar>
          <w:left w:w="115" w:type="dxa"/>
          <w:right w:w="115" w:type="dxa"/>
        </w:tblCellMar>
        <w:tblLook w:firstRow="1" w:lastRow="1" w:firstColumn="1" w:lastColumn="1" w:noHBand="0" w:noVBand="0" w:val="01E0"/>
      </w:tblPr>
      <w:tblGrid>
        <w:gridCol w:w="9590"/>
      </w:tblGrid>
      <w:tr>
        <w:trPr>
          <w:cantSplit w:val="true"/>
        </w:trPr>
        <w:tc>
          <w:tcPr>
            <w:vAlign w:val="bottom"/>
          </w:tcPr>
          <w:p>
            <w:pPr>
              <w:spacing w:beforeAutospacing="true" w:afterAutospacing="true"/>
              <w:jc w:val="left"/>
            </w:pPr>
            <w:r>
              <w:rPr>
                <w:rFonts w:ascii="Calibri" w:hAnsi="Calibri"/>
                <w:b/>
                <w:color w:val="000000"/>
                <w:sz w:val="22"/>
              </w:rPr>
              <w:t xml:space="preserve">Subrecipient or Contractor Name:</w:t>
            </w:r>
            <w:r>
              <w:rPr>
                <w:rFonts w:ascii="Calibri" w:hAnsi="Calibri"/>
                <w:color w:val="000000"/>
                <w:sz w:val="22"/>
              </w:rPr>
              <w:t xml:space="preserve"> COMMUNITY SHELTER BOARD</w:t>
            </w:r>
            <w:r>
              <w:rPr>
                <w:rFonts w:ascii="Calibri" w:hAnsi="Calibri"/>
                <w:color w:val="000000"/>
                <w:sz w:val="22"/>
              </w:rPr>
              <w:br/>
              <w:t xml:space="preserve"/>
            </w:r>
            <w:r>
              <w:rPr>
                <w:rFonts w:ascii="Calibri" w:hAnsi="Calibri"/>
                <w:b/>
                <w:color w:val="000000"/>
                <w:sz w:val="22"/>
              </w:rPr>
              <w:t xml:space="preserve">City:</w:t>
            </w:r>
            <w:r>
              <w:rPr>
                <w:rFonts w:ascii="Calibri" w:hAnsi="Calibri"/>
                <w:color w:val="000000"/>
                <w:sz w:val="22"/>
              </w:rPr>
              <w:t xml:space="preserve"> Columbus</w:t>
            </w:r>
            <w:r>
              <w:rPr>
                <w:rFonts w:ascii="Calibri" w:hAnsi="Calibri"/>
                <w:color w:val="000000"/>
                <w:sz w:val="22"/>
              </w:rPr>
              <w:br/>
              <w:t xml:space="preserve"/>
            </w:r>
            <w:r>
              <w:rPr>
                <w:rFonts w:ascii="Calibri" w:hAnsi="Calibri"/>
                <w:b/>
                <w:color w:val="000000"/>
                <w:sz w:val="22"/>
              </w:rPr>
              <w:t xml:space="preserve">State:</w:t>
            </w:r>
            <w:r>
              <w:rPr>
                <w:rFonts w:ascii="Calibri" w:hAnsi="Calibri"/>
                <w:color w:val="000000"/>
                <w:sz w:val="22"/>
              </w:rPr>
              <w:t xml:space="preserve"> OH</w:t>
            </w:r>
            <w:r>
              <w:rPr>
                <w:rFonts w:ascii="Calibri" w:hAnsi="Calibri"/>
                <w:color w:val="000000"/>
                <w:sz w:val="22"/>
              </w:rPr>
              <w:br/>
              <w:t xml:space="preserve"/>
            </w:r>
            <w:r>
              <w:rPr>
                <w:rFonts w:ascii="Calibri" w:hAnsi="Calibri"/>
                <w:b/>
                <w:color w:val="000000"/>
                <w:sz w:val="22"/>
              </w:rPr>
              <w:t xml:space="preserve">Zip Code:</w:t>
            </w:r>
            <w:r>
              <w:rPr>
                <w:rFonts w:ascii="Calibri" w:hAnsi="Calibri"/>
                <w:color w:val="000000"/>
                <w:sz w:val="22"/>
              </w:rPr>
              <w:t xml:space="preserve"> 43215, 5848</w:t>
            </w:r>
            <w:r>
              <w:rPr>
                <w:rFonts w:ascii="Calibri" w:hAnsi="Calibri"/>
                <w:color w:val="000000"/>
                <w:sz w:val="22"/>
              </w:rPr>
              <w:br/>
              <w:t xml:space="preserve"/>
            </w:r>
            <w:r>
              <w:rPr>
                <w:rFonts w:ascii="Calibri" w:hAnsi="Calibri"/>
                <w:b/>
                <w:color w:val="000000"/>
                <w:sz w:val="22"/>
              </w:rPr>
              <w:t xml:space="preserve">DUNS Number:</w:t>
            </w:r>
            <w:r>
              <w:rPr>
                <w:rFonts w:ascii="Calibri" w:hAnsi="Calibri"/>
                <w:color w:val="000000"/>
                <w:sz w:val="22"/>
              </w:rPr>
              <w:t xml:space="preserve"> 619605363</w:t>
            </w:r>
            <w:r>
              <w:rPr>
                <w:rFonts w:ascii="Calibri" w:hAnsi="Calibri"/>
                <w:color w:val="000000"/>
                <w:sz w:val="22"/>
              </w:rPr>
              <w:br/>
              <w:t xml:space="preserve"/>
            </w:r>
            <w:r>
              <w:rPr>
                <w:rFonts w:ascii="Calibri" w:hAnsi="Calibri"/>
                <w:b/>
                <w:color w:val="000000"/>
                <w:sz w:val="22"/>
              </w:rPr>
              <w:t xml:space="preserve">UEI:</w:t>
            </w:r>
            <w:r>
              <w:rPr>
                <w:rFonts w:ascii="Calibri" w:hAnsi="Calibri"/>
                <w:color w:val="000000"/>
                <w:sz w:val="22"/>
              </w:rPr>
              <w:t xml:space="preserve"> </w:t>
            </w:r>
            <w:r>
              <w:rPr>
                <w:rFonts w:ascii="Calibri" w:hAnsi="Calibri"/>
                <w:color w:val="000000"/>
                <w:sz w:val="22"/>
              </w:rPr>
              <w:br/>
              <w:t xml:space="preserve"/>
            </w:r>
            <w:r>
              <w:rPr>
                <w:rFonts w:ascii="Calibri" w:hAnsi="Calibri"/>
                <w:b/>
                <w:color w:val="000000"/>
                <w:sz w:val="22"/>
              </w:rPr>
              <w:t xml:space="preserve">Is subrecipient a victim services provider:</w:t>
            </w:r>
            <w:r>
              <w:rPr>
                <w:rFonts w:ascii="Calibri" w:hAnsi="Calibri"/>
                <w:color w:val="000000"/>
                <w:sz w:val="22"/>
              </w:rPr>
              <w:t xml:space="preserve"> N</w:t>
            </w:r>
            <w:r>
              <w:rPr>
                <w:rFonts w:ascii="Calibri" w:hAnsi="Calibri"/>
                <w:color w:val="000000"/>
                <w:sz w:val="22"/>
              </w:rPr>
              <w:br/>
              <w:t xml:space="preserve"/>
            </w:r>
            <w:r>
              <w:rPr>
                <w:rFonts w:ascii="Calibri" w:hAnsi="Calibri"/>
                <w:b/>
                <w:color w:val="000000"/>
                <w:sz w:val="22"/>
              </w:rPr>
              <w:t xml:space="preserve">Subrecipient Organization Type:</w:t>
            </w:r>
            <w:r>
              <w:rPr>
                <w:rFonts w:ascii="Calibri" w:hAnsi="Calibri"/>
                <w:color w:val="000000"/>
                <w:sz w:val="22"/>
              </w:rPr>
              <w:t xml:space="preserve"> Other Non-Profit Organization</w:t>
            </w:r>
            <w:r>
              <w:rPr>
                <w:rFonts w:ascii="Calibri" w:hAnsi="Calibri"/>
                <w:color w:val="000000"/>
                <w:sz w:val="22"/>
              </w:rPr>
              <w:br/>
              <w:t xml:space="preserve"/>
            </w:r>
            <w:r>
              <w:rPr>
                <w:rFonts w:ascii="Calibri" w:hAnsi="Calibri"/>
                <w:b/>
                <w:color w:val="000000"/>
                <w:sz w:val="22"/>
              </w:rPr>
              <w:t xml:space="preserve">ESG Subgrant or Contract Award Amount:</w:t>
            </w:r>
            <w:r>
              <w:rPr>
                <w:rFonts w:ascii="Calibri" w:hAnsi="Calibri"/>
                <w:color w:val="000000"/>
                <w:sz w:val="22"/>
              </w:rPr>
              <w:t xml:space="preserve"> 597045</w:t>
            </w:r>
            <w:r>
              <w:rPr>
                <w:rFonts w:ascii="Calibri" w:hAnsi="Calibri"/>
                <w:color w:val="000000"/>
                <w:sz w:val="22"/>
              </w:rPr>
              <w:br/>
              <w:t xml:space="preserve"/>
            </w:r>
          </w:p>
        </w:tc>
      </w:tr>
    </w:tbl>
    <w:p>
      <w:pPr>
        <w:widowControl w:val="false"/>
        <w:rPr>
          <w:b/>
          <w:sz w:val="24"/>
          <w:szCs w:val="24"/>
        </w:rPr>
      </w:pPr>
    </w:p>
    <w:p>
      <w:pPr>
        <w:pStyle w:val="Heading2"/>
        <w:keepNext w:val="false"/>
        <w:pageBreakBefore/>
        <w:widowControl w:val="false"/>
        <w:rPr>
          <w:rFonts w:ascii="Calibri" w:hAnsi="Calibri"/>
          <w:i w:val="false"/>
        </w:rPr>
      </w:pPr>
      <w:r>
        <w:rPr>
          <w:rFonts w:ascii="Calibri" w:hAnsi="Calibri"/>
          <w:i w:val="false"/>
        </w:rPr>
        <w:t>CR-65 - Persons Assisted</w:t>
      </w:r>
    </w:p>
    <w:p>
      <w:pPr>
        <w:keepNext/>
        <w:widowControl w:val="false"/>
        <w:rPr>
          <w:b/>
          <w:sz w:val="24"/>
          <w:szCs w:val="24"/>
        </w:rPr>
      </w:pPr>
      <w:r>
        <w:rPr>
          <w:b/>
          <w:sz w:val="24"/>
          <w:szCs w:val="24"/>
        </w:rPr>
        <w:t>4. Persons Served</w:t>
      </w:r>
    </w:p>
    <w:p>
      <w:pPr>
        <w:keepNext/>
        <w:widowControl w:val="false"/>
        <w:rPr>
          <w:b/>
          <w:sz w:val="24"/>
          <w:szCs w:val="24"/>
        </w:rPr>
      </w:pPr>
      <w:r>
        <w:rPr>
          <w:b/>
          <w:sz w:val="24"/>
          <w:szCs w:val="24"/>
        </w:rPr>
        <w:t xml:space="preserve">4a. Complete for Homelessness Prevention Activities </w:t>
      </w:r>
    </w:p>
    <w:tbl>
      <w:tblPr>
        <w:tblW w:w="2816"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firstRow="1" w:lastRow="1" w:firstColumn="1" w:lastColumn="1" w:noHBand="0" w:noVBand="0" w:val="01E0"/>
      </w:tblPr>
      <w:tblGrid>
        <w:gridCol w:w="3058"/>
        <w:gridCol w:w="2343"/>
      </w:tblGrid>
      <w:tr>
        <w:trPr>
          <w:cantSplit/>
        </w:trPr>
        <w:tc>
          <w:tcPr>
            <w:tcW w:w="3058" w:type="dxa"/>
          </w:tcPr>
          <w:p>
            <w:pPr>
              <w:keepNext/>
              <w:widowControl w:val="false"/>
              <w:spacing w:after="0" w:line="240" w:lineRule="auto"/>
              <w:rPr>
                <w:b/>
              </w:rPr>
            </w:pPr>
            <w:r>
              <w:rPr>
                <w:b/>
                <w:bCs/>
              </w:rPr>
              <w:t>Number of Persons in Households</w:t>
            </w:r>
          </w:p>
        </w:tc>
        <w:tc>
          <w:tcPr>
            <w:tcW w:w="2343" w:type="dxa"/>
          </w:tcPr>
          <w:p>
            <w:pPr>
              <w:pStyle w:val="NoSpacing"/>
              <w:keepNext/>
              <w:jc w:val="center"/>
              <w:rPr>
                <w:b/>
              </w:rPr>
            </w:pPr>
            <w:r>
              <w:rPr>
                <w:b/>
              </w:rPr>
              <w:t>Total</w:t>
            </w:r>
          </w:p>
        </w:tc>
      </w:tr>
      <w:tr>
        <w:trPr>
          <w:cantSplit w:val="true"/>
        </w:trPr>
        <w:tc>
          <w:tcPr>
            <w:vAlign w:val="bottom"/>
          </w:tcPr>
          <w:p>
            <w:pPr>
              <w:spacing w:beforeAutospacing="true" w:afterAutospacing="true"/>
              <w:jc w:val="left"/>
            </w:pPr>
            <w:r>
              <w:rPr>
                <w:rFonts w:ascii="Calibri" w:hAnsi="Calibri"/>
                <w:color w:val="000000"/>
                <w:sz w:val="22"/>
              </w:rPr>
              <w:t xml:space="preserve">Adults</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color w:val="000000"/>
                <w:sz w:val="22"/>
              </w:rPr>
              <w:t xml:space="preserve">Children</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color w:val="000000"/>
                <w:sz w:val="22"/>
              </w:rPr>
              <w:t xml:space="preserve">Don't Know/Refused/Other</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color w:val="000000"/>
                <w:sz w:val="22"/>
              </w:rPr>
              <w:t xml:space="preserve">Missing Information</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b/>
                <w:color w:val="000000"/>
                <w:sz w:val="22"/>
              </w:rPr>
              <w:t xml:space="preserve">Total</w:t>
            </w:r>
          </w:p>
        </w:tc>
        <w:tc>
          <w:tcPr>
            <w:vAlign w:val="bottom"/>
          </w:tcPr>
          <w:p>
            <w:pPr>
              <w:spacing w:beforeAutospacing="true" w:afterAutospacing="true"/>
              <w:jc w:val="right"/>
            </w:pPr>
            <w:r>
              <w:rPr>
                <w:rFonts w:ascii="Calibri" w:hAnsi="Calibri"/>
                <w:b/>
                <w:color w:val="000000"/>
                <w:sz w:val="22"/>
              </w:rPr>
              <w:t xml:space="preserve">0</w:t>
            </w:r>
          </w:p>
        </w:tc>
      </w:tr>
    </w:tbl>
    <w:p>
      <w:pPr>
        <w:pStyle w:val="Caption"/>
        <w:rPr>
          <w:rFonts w:asciiTheme="minorHAnsi" w:hAnsiTheme="minorHAnsi"/>
        </w:rPr>
      </w:pPr>
      <w:r>
        <w:rPr>
          <w:rFonts w:asciiTheme="minorHAnsi" w:hAnsiTheme="minorHAnsi"/>
        </w:rPr>
        <w:t>Table 16 – Household Information for Homeless Prevention Activities</w:t>
      </w:r>
    </w:p>
    <w:p>
      <w:pPr>
        <w:spacing w:after="0" w:line="240" w:lineRule="auto"/>
      </w:pPr>
    </w:p>
    <w:p>
      <w:pPr>
        <w:widowControl w:val="false"/>
      </w:pPr>
    </w:p>
    <w:p>
      <w:pPr>
        <w:keepNext/>
        <w:widowControl w:val="false"/>
        <w:rPr>
          <w:b/>
          <w:sz w:val="24"/>
          <w:szCs w:val="24"/>
        </w:rPr>
      </w:pPr>
      <w:r>
        <w:rPr>
          <w:b/>
          <w:sz w:val="24"/>
          <w:szCs w:val="24"/>
        </w:rPr>
        <w:t>4b. Complete for Rapid Re-Housing Activities</w:t>
      </w:r>
    </w:p>
    <w:tbl>
      <w:tblPr>
        <w:tblW w:w="2816"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firstRow="1" w:lastRow="1" w:firstColumn="1" w:lastColumn="1" w:noHBand="0" w:noVBand="0" w:val="01E0"/>
      </w:tblPr>
      <w:tblGrid>
        <w:gridCol w:w="3058"/>
        <w:gridCol w:w="2343"/>
      </w:tblGrid>
      <w:tr>
        <w:trPr>
          <w:cantSplit/>
        </w:trPr>
        <w:tc>
          <w:tcPr>
            <w:tcW w:w="3058" w:type="dxa"/>
          </w:tcPr>
          <w:p>
            <w:pPr>
              <w:keepNext/>
              <w:widowControl w:val="false"/>
              <w:spacing w:after="0" w:line="240" w:lineRule="auto"/>
              <w:rPr>
                <w:b/>
              </w:rPr>
            </w:pPr>
            <w:r>
              <w:rPr>
                <w:b/>
                <w:bCs/>
              </w:rPr>
              <w:t>Number of Persons in Households</w:t>
            </w:r>
          </w:p>
        </w:tc>
        <w:tc>
          <w:tcPr>
            <w:tcW w:w="2343" w:type="dxa"/>
          </w:tcPr>
          <w:p>
            <w:pPr>
              <w:pStyle w:val="NoSpacing"/>
              <w:keepNext/>
              <w:jc w:val="center"/>
              <w:rPr>
                <w:b/>
              </w:rPr>
            </w:pPr>
            <w:r>
              <w:rPr>
                <w:b/>
              </w:rPr>
              <w:t>Total</w:t>
            </w:r>
          </w:p>
        </w:tc>
      </w:tr>
      <w:tr>
        <w:trPr>
          <w:cantSplit w:val="true"/>
        </w:trPr>
        <w:tc>
          <w:tcPr>
            <w:vAlign w:val="bottom"/>
          </w:tcPr>
          <w:p>
            <w:pPr>
              <w:spacing w:beforeAutospacing="true" w:afterAutospacing="true"/>
              <w:jc w:val="left"/>
            </w:pPr>
            <w:r>
              <w:rPr>
                <w:rFonts w:ascii="Calibri" w:hAnsi="Calibri"/>
                <w:color w:val="000000"/>
                <w:sz w:val="22"/>
              </w:rPr>
              <w:t xml:space="preserve">Adults</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color w:val="000000"/>
                <w:sz w:val="22"/>
              </w:rPr>
              <w:t xml:space="preserve">Children</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color w:val="000000"/>
                <w:sz w:val="22"/>
              </w:rPr>
              <w:t xml:space="preserve">Don't Know/Refused/Other</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color w:val="000000"/>
                <w:sz w:val="22"/>
              </w:rPr>
              <w:t xml:space="preserve">Missing Information</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b/>
                <w:color w:val="000000"/>
                <w:sz w:val="22"/>
              </w:rPr>
              <w:t xml:space="preserve">Total</w:t>
            </w:r>
          </w:p>
        </w:tc>
        <w:tc>
          <w:tcPr>
            <w:vAlign w:val="bottom"/>
          </w:tcPr>
          <w:p>
            <w:pPr>
              <w:spacing w:beforeAutospacing="true" w:afterAutospacing="true"/>
              <w:jc w:val="right"/>
            </w:pPr>
            <w:r>
              <w:rPr>
                <w:rFonts w:ascii="Calibri" w:hAnsi="Calibri"/>
                <w:b/>
                <w:color w:val="000000"/>
                <w:sz w:val="22"/>
              </w:rPr>
              <w:t xml:space="preserve">0</w:t>
            </w:r>
          </w:p>
        </w:tc>
      </w:tr>
    </w:tbl>
    <w:p>
      <w:pPr>
        <w:pStyle w:val="Caption"/>
        <w:rPr>
          <w:rFonts w:asciiTheme="minorHAnsi" w:hAnsiTheme="minorHAnsi"/>
        </w:rPr>
      </w:pPr>
      <w:r>
        <w:rPr>
          <w:rFonts w:asciiTheme="minorHAnsi" w:hAnsiTheme="minorHAnsi"/>
        </w:rPr>
        <w:t>Table 17 – Household Information for Rapid Re-Housing Activities</w:t>
      </w:r>
    </w:p>
    <w:p/>
    <w:p/>
    <w:p>
      <w:pPr>
        <w:widowControl w:val="false"/>
        <w:rPr>
          <w:sz w:val="20"/>
          <w:szCs w:val="20"/>
        </w:rPr>
      </w:pPr>
    </w:p>
    <w:p>
      <w:pPr>
        <w:keepNext/>
        <w:widowControl w:val="false"/>
        <w:rPr>
          <w:b/>
          <w:sz w:val="24"/>
          <w:szCs w:val="24"/>
        </w:rPr>
      </w:pPr>
      <w:r>
        <w:rPr>
          <w:b/>
          <w:sz w:val="24"/>
          <w:szCs w:val="24"/>
        </w:rPr>
        <w:t>4c. Complete for Shelter</w:t>
      </w:r>
    </w:p>
    <w:tbl>
      <w:tblPr>
        <w:tblW w:w="2816"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firstRow="1" w:lastRow="1" w:firstColumn="1" w:lastColumn="1" w:noHBand="0" w:noVBand="0" w:val="01E0"/>
      </w:tblPr>
      <w:tblGrid>
        <w:gridCol w:w="3058"/>
        <w:gridCol w:w="2343"/>
      </w:tblGrid>
      <w:tr>
        <w:trPr>
          <w:cantSplit/>
        </w:trPr>
        <w:tc>
          <w:tcPr>
            <w:tcW w:w="3058" w:type="dxa"/>
          </w:tcPr>
          <w:p>
            <w:pPr>
              <w:keepNext/>
              <w:widowControl w:val="false"/>
              <w:spacing w:after="0" w:line="240" w:lineRule="auto"/>
              <w:rPr>
                <w:b/>
              </w:rPr>
            </w:pPr>
            <w:r>
              <w:rPr>
                <w:b/>
                <w:bCs/>
              </w:rPr>
              <w:t>Number of Persons in Households</w:t>
            </w:r>
          </w:p>
        </w:tc>
        <w:tc>
          <w:tcPr>
            <w:tcW w:w="2343" w:type="dxa"/>
          </w:tcPr>
          <w:p>
            <w:pPr>
              <w:pStyle w:val="NoSpacing"/>
              <w:keepNext/>
              <w:jc w:val="center"/>
              <w:rPr>
                <w:b/>
              </w:rPr>
            </w:pPr>
            <w:r>
              <w:rPr>
                <w:b/>
              </w:rPr>
              <w:t>Total</w:t>
            </w:r>
          </w:p>
        </w:tc>
      </w:tr>
      <w:tr>
        <w:trPr>
          <w:cantSplit w:val="true"/>
        </w:trPr>
        <w:tc>
          <w:tcPr>
            <w:vAlign w:val="bottom"/>
          </w:tcPr>
          <w:p>
            <w:pPr>
              <w:spacing w:beforeAutospacing="true" w:afterAutospacing="true"/>
              <w:jc w:val="left"/>
            </w:pPr>
            <w:r>
              <w:rPr>
                <w:rFonts w:ascii="Calibri" w:hAnsi="Calibri"/>
                <w:color w:val="000000"/>
                <w:sz w:val="22"/>
              </w:rPr>
              <w:t xml:space="preserve">Adults</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color w:val="000000"/>
                <w:sz w:val="22"/>
              </w:rPr>
              <w:t xml:space="preserve">Children</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color w:val="000000"/>
                <w:sz w:val="22"/>
              </w:rPr>
              <w:t xml:space="preserve">Don't Know/Refused/Other</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color w:val="000000"/>
                <w:sz w:val="22"/>
              </w:rPr>
              <w:t xml:space="preserve">Missing Information</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b/>
                <w:color w:val="000000"/>
                <w:sz w:val="22"/>
              </w:rPr>
              <w:t xml:space="preserve">Total</w:t>
            </w:r>
          </w:p>
        </w:tc>
        <w:tc>
          <w:tcPr>
            <w:vAlign w:val="bottom"/>
          </w:tcPr>
          <w:p>
            <w:pPr>
              <w:spacing w:beforeAutospacing="true" w:afterAutospacing="true"/>
              <w:jc w:val="right"/>
            </w:pPr>
            <w:r>
              <w:rPr>
                <w:rFonts w:ascii="Calibri" w:hAnsi="Calibri"/>
                <w:b/>
                <w:color w:val="000000"/>
                <w:sz w:val="22"/>
              </w:rPr>
              <w:t xml:space="preserve">0</w:t>
            </w:r>
          </w:p>
        </w:tc>
      </w:tr>
    </w:tbl>
    <w:p>
      <w:pPr>
        <w:pStyle w:val="Caption"/>
        <w:rPr>
          <w:rFonts w:asciiTheme="minorHAnsi" w:hAnsiTheme="minorHAnsi"/>
        </w:rPr>
      </w:pPr>
      <w:r>
        <w:rPr>
          <w:rFonts w:asciiTheme="minorHAnsi" w:hAnsiTheme="minorHAnsi"/>
        </w:rPr>
        <w:t>Table 18 – Shelter Information</w:t>
      </w:r>
    </w:p>
    <w:p>
      <w:pPr>
        <w:spacing w:after="0" w:line="240" w:lineRule="auto"/>
      </w:pPr>
    </w:p>
    <w:p/>
    <w:p/>
    <w:p/>
    <w:p>
      <w:pPr>
        <w:keepNext/>
        <w:pageBreakBefore/>
        <w:widowControl w:val="false"/>
        <w:rPr>
          <w:b/>
          <w:sz w:val="24"/>
          <w:szCs w:val="24"/>
        </w:rPr>
      </w:pPr>
    </w:p>
    <w:p>
      <w:pPr>
        <w:keepNext/>
        <w:widowControl w:val="false"/>
        <w:rPr>
          <w:b/>
          <w:sz w:val="24"/>
          <w:szCs w:val="24"/>
        </w:rPr>
      </w:pPr>
      <w:r>
        <w:rPr>
          <w:b/>
          <w:sz w:val="24"/>
          <w:szCs w:val="24"/>
        </w:rPr>
        <w:t>4d. Street Outreach</w:t>
      </w:r>
    </w:p>
    <w:tbl>
      <w:tblPr>
        <w:tblW w:w="2816"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firstRow="1" w:lastRow="1" w:firstColumn="1" w:lastColumn="1" w:noHBand="0" w:noVBand="0" w:val="01E0"/>
      </w:tblPr>
      <w:tblGrid>
        <w:gridCol w:w="3058"/>
        <w:gridCol w:w="2343"/>
      </w:tblGrid>
      <w:tr>
        <w:trPr>
          <w:cantSplit/>
        </w:trPr>
        <w:tc>
          <w:tcPr>
            <w:tcW w:w="3058" w:type="dxa"/>
          </w:tcPr>
          <w:p>
            <w:pPr>
              <w:keepNext/>
              <w:keepLines/>
              <w:widowControl w:val="false"/>
              <w:spacing w:after="0" w:line="240" w:lineRule="auto"/>
              <w:rPr>
                <w:b/>
              </w:rPr>
            </w:pPr>
            <w:r>
              <w:rPr>
                <w:b/>
                <w:bCs/>
              </w:rPr>
              <w:t>Number of Persons in Households</w:t>
            </w:r>
          </w:p>
        </w:tc>
        <w:tc>
          <w:tcPr>
            <w:tcW w:w="2343" w:type="dxa"/>
          </w:tcPr>
          <w:p>
            <w:pPr>
              <w:pStyle w:val="NoSpacing"/>
              <w:keepNext/>
              <w:keepLines/>
              <w:jc w:val="center"/>
              <w:rPr>
                <w:b/>
              </w:rPr>
            </w:pPr>
            <w:r>
              <w:rPr>
                <w:b/>
              </w:rPr>
              <w:t>Total</w:t>
            </w:r>
          </w:p>
        </w:tc>
      </w:tr>
      <w:tr>
        <w:trPr>
          <w:cantSplit w:val="true"/>
        </w:trPr>
        <w:tc>
          <w:tcPr>
            <w:vAlign w:val="bottom"/>
          </w:tcPr>
          <w:p>
            <w:pPr>
              <w:spacing w:beforeAutospacing="true" w:afterAutospacing="true"/>
              <w:jc w:val="left"/>
            </w:pPr>
            <w:r>
              <w:rPr>
                <w:rFonts w:ascii="Calibri" w:hAnsi="Calibri"/>
                <w:color w:val="000000"/>
                <w:sz w:val="22"/>
              </w:rPr>
              <w:t xml:space="preserve">Adults</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color w:val="000000"/>
                <w:sz w:val="22"/>
              </w:rPr>
              <w:t xml:space="preserve">Children</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color w:val="000000"/>
                <w:sz w:val="22"/>
              </w:rPr>
              <w:t xml:space="preserve">Don't Know/Refused/Other</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color w:val="000000"/>
                <w:sz w:val="22"/>
              </w:rPr>
              <w:t xml:space="preserve">Missing Information</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b/>
                <w:color w:val="000000"/>
                <w:sz w:val="22"/>
              </w:rPr>
              <w:t xml:space="preserve">Total</w:t>
            </w:r>
          </w:p>
        </w:tc>
        <w:tc>
          <w:tcPr>
            <w:vAlign w:val="bottom"/>
          </w:tcPr>
          <w:p>
            <w:pPr>
              <w:spacing w:beforeAutospacing="true" w:afterAutospacing="true"/>
              <w:jc w:val="right"/>
            </w:pPr>
            <w:r>
              <w:rPr>
                <w:rFonts w:ascii="Calibri" w:hAnsi="Calibri"/>
                <w:b/>
                <w:color w:val="000000"/>
                <w:sz w:val="22"/>
              </w:rPr>
              <w:t xml:space="preserve">0</w:t>
            </w:r>
          </w:p>
        </w:tc>
      </w:tr>
    </w:tbl>
    <w:p>
      <w:pPr>
        <w:pStyle w:val="Caption"/>
        <w:rPr>
          <w:rFonts w:asciiTheme="minorHAnsi" w:hAnsiTheme="minorHAnsi"/>
        </w:rPr>
      </w:pPr>
      <w:r>
        <w:rPr>
          <w:rFonts w:asciiTheme="minorHAnsi" w:hAnsiTheme="minorHAnsi"/>
        </w:rPr>
        <w:t xml:space="preserve">Table 19 – Household Information for Street Outreach </w:t>
      </w:r>
    </w:p>
    <w:p>
      <w:pPr>
        <w:spacing w:after="0" w:line="240" w:lineRule="auto"/>
      </w:pPr>
    </w:p>
    <w:p/>
    <w:p>
      <w:pPr>
        <w:keepNext/>
        <w:widowControl w:val="false"/>
        <w:rPr>
          <w:b/>
          <w:sz w:val="24"/>
          <w:szCs w:val="24"/>
        </w:rPr>
      </w:pPr>
    </w:p>
    <w:p>
      <w:pPr>
        <w:keepNext/>
        <w:widowControl w:val="false"/>
        <w:rPr>
          <w:b/>
          <w:sz w:val="24"/>
          <w:szCs w:val="24"/>
        </w:rPr>
      </w:pPr>
      <w:r>
        <w:rPr>
          <w:b/>
          <w:sz w:val="24"/>
          <w:szCs w:val="24"/>
        </w:rPr>
        <w:t>4e. Totals for all Persons Served with ESG</w:t>
      </w:r>
    </w:p>
    <w:tbl>
      <w:tblPr>
        <w:tblW w:w="2816"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firstRow="1" w:lastRow="1" w:firstColumn="1" w:lastColumn="1" w:noHBand="0" w:noVBand="0" w:val="01E0"/>
      </w:tblPr>
      <w:tblGrid>
        <w:gridCol w:w="3058"/>
        <w:gridCol w:w="2343"/>
      </w:tblGrid>
      <w:tr>
        <w:trPr>
          <w:cantSplit/>
        </w:trPr>
        <w:tc>
          <w:tcPr>
            <w:tcW w:w="3058" w:type="dxa"/>
          </w:tcPr>
          <w:p>
            <w:pPr>
              <w:keepNext/>
              <w:widowControl w:val="false"/>
              <w:spacing w:after="0" w:line="240" w:lineRule="auto"/>
              <w:rPr>
                <w:b/>
              </w:rPr>
            </w:pPr>
            <w:r>
              <w:rPr>
                <w:b/>
                <w:bCs/>
              </w:rPr>
              <w:t>Number of Persons in Households</w:t>
            </w:r>
          </w:p>
        </w:tc>
        <w:tc>
          <w:tcPr>
            <w:tcW w:w="2343" w:type="dxa"/>
          </w:tcPr>
          <w:p>
            <w:pPr>
              <w:pStyle w:val="NoSpacing"/>
              <w:keepNext/>
              <w:jc w:val="center"/>
              <w:rPr>
                <w:b/>
              </w:rPr>
            </w:pPr>
            <w:r>
              <w:rPr>
                <w:b/>
              </w:rPr>
              <w:t>Total</w:t>
            </w:r>
          </w:p>
        </w:tc>
      </w:tr>
      <w:tr>
        <w:trPr>
          <w:cantSplit w:val="true"/>
        </w:trPr>
        <w:tc>
          <w:tcPr>
            <w:vAlign w:val="bottom"/>
          </w:tcPr>
          <w:p>
            <w:pPr>
              <w:spacing w:beforeAutospacing="true" w:afterAutospacing="true"/>
              <w:jc w:val="left"/>
            </w:pPr>
            <w:r>
              <w:rPr>
                <w:rFonts w:ascii="Calibri" w:hAnsi="Calibri"/>
                <w:color w:val="000000"/>
                <w:sz w:val="22"/>
              </w:rPr>
              <w:t xml:space="preserve">Adults</w:t>
            </w:r>
          </w:p>
        </w:tc>
        <w:tc>
          <w:tcPr>
            <w:vAlign w:val="bottom"/>
          </w:tcPr>
          <w:p>
            <w:pPr>
              <w:spacing w:beforeAutospacing="true" w:afterAutospacing="true"/>
              <w:jc w:val="right"/>
            </w:pPr>
            <w:r>
              <w:rPr>
                <w:rFonts w:ascii="Calibri" w:hAnsi="Calibri"/>
                <w:color w:val="000000"/>
                <w:sz w:val="22"/>
              </w:rPr>
              <w:t xml:space="preserve">3,364</w:t>
            </w:r>
          </w:p>
        </w:tc>
      </w:tr>
      <w:tr>
        <w:trPr>
          <w:cantSplit w:val="true"/>
        </w:trPr>
        <w:tc>
          <w:tcPr>
            <w:vAlign w:val="bottom"/>
          </w:tcPr>
          <w:p>
            <w:pPr>
              <w:spacing w:beforeAutospacing="true" w:afterAutospacing="true"/>
              <w:jc w:val="left"/>
            </w:pPr>
            <w:r>
              <w:rPr>
                <w:rFonts w:ascii="Calibri" w:hAnsi="Calibri"/>
                <w:color w:val="000000"/>
                <w:sz w:val="22"/>
              </w:rPr>
              <w:t xml:space="preserve">Children</w:t>
            </w:r>
          </w:p>
        </w:tc>
        <w:tc>
          <w:tcPr>
            <w:vAlign w:val="bottom"/>
          </w:tcPr>
          <w:p>
            <w:pPr>
              <w:spacing w:beforeAutospacing="true" w:afterAutospacing="true"/>
              <w:jc w:val="right"/>
            </w:pPr>
            <w:r>
              <w:rPr>
                <w:rFonts w:ascii="Calibri" w:hAnsi="Calibri"/>
                <w:color w:val="000000"/>
                <w:sz w:val="22"/>
              </w:rPr>
              <w:t xml:space="preserve">886</w:t>
            </w:r>
          </w:p>
        </w:tc>
      </w:tr>
      <w:tr>
        <w:trPr>
          <w:cantSplit w:val="true"/>
        </w:trPr>
        <w:tc>
          <w:tcPr>
            <w:vAlign w:val="bottom"/>
          </w:tcPr>
          <w:p>
            <w:pPr>
              <w:spacing w:beforeAutospacing="true" w:afterAutospacing="true"/>
              <w:jc w:val="left"/>
            </w:pPr>
            <w:r>
              <w:rPr>
                <w:rFonts w:ascii="Calibri" w:hAnsi="Calibri"/>
                <w:color w:val="000000"/>
                <w:sz w:val="22"/>
              </w:rPr>
              <w:t xml:space="preserve">Don't Know/Refused/Other</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color w:val="000000"/>
                <w:sz w:val="22"/>
              </w:rPr>
              <w:t xml:space="preserve">Missing Information</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b/>
                <w:color w:val="000000"/>
                <w:sz w:val="22"/>
              </w:rPr>
              <w:t xml:space="preserve">Total</w:t>
            </w:r>
          </w:p>
        </w:tc>
        <w:tc>
          <w:tcPr>
            <w:vAlign w:val="bottom"/>
          </w:tcPr>
          <w:p>
            <w:pPr>
              <w:spacing w:beforeAutospacing="true" w:afterAutospacing="true"/>
              <w:jc w:val="right"/>
            </w:pPr>
            <w:r>
              <w:rPr>
                <w:rFonts w:ascii="Calibri" w:hAnsi="Calibri"/>
                <w:b/>
                <w:color w:val="000000"/>
                <w:sz w:val="22"/>
              </w:rPr>
              <w:t xml:space="preserve">4,250</w:t>
            </w:r>
          </w:p>
        </w:tc>
      </w:tr>
    </w:tbl>
    <w:p>
      <w:pPr>
        <w:pStyle w:val="Caption"/>
        <w:rPr>
          <w:rFonts w:asciiTheme="minorHAnsi" w:hAnsiTheme="minorHAnsi"/>
        </w:rPr>
      </w:pPr>
      <w:r>
        <w:rPr>
          <w:rFonts w:asciiTheme="minorHAnsi" w:hAnsiTheme="minorHAnsi"/>
        </w:rPr>
        <w:t>Table 20 – Household Information for Persons Served with ESG</w:t>
      </w:r>
    </w:p>
    <w:p>
      <w:pPr>
        <w:spacing w:after="0" w:line="240" w:lineRule="auto"/>
      </w:pPr>
    </w:p>
    <w:p/>
    <w:p>
      <w:pPr>
        <w:widowControl w:val="false"/>
        <w:rPr>
          <w:b/>
          <w:sz w:val="24"/>
          <w:szCs w:val="24"/>
        </w:rPr>
      </w:pPr>
    </w:p>
    <w:p>
      <w:pPr>
        <w:keepNext/>
        <w:widowControl w:val="false"/>
        <w:rPr>
          <w:b/>
          <w:sz w:val="24"/>
          <w:szCs w:val="24"/>
        </w:rPr>
      </w:pPr>
      <w:r>
        <w:rPr>
          <w:b/>
          <w:sz w:val="24"/>
          <w:szCs w:val="24"/>
        </w:rPr>
        <w:t>5. Gender—Complete for All Activities</w:t>
      </w:r>
    </w:p>
    <w:tbl>
      <w:tblPr>
        <w:tblW w:w="2816"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firstRow="1" w:lastRow="1" w:firstColumn="1" w:lastColumn="1" w:noHBand="0" w:noVBand="0" w:val="01E0"/>
      </w:tblPr>
      <w:tblGrid>
        <w:gridCol w:w="3058"/>
        <w:gridCol w:w="2343"/>
      </w:tblGrid>
      <w:tr>
        <w:trPr>
          <w:cantSplit/>
        </w:trPr>
        <w:tc>
          <w:tcPr>
            <w:tcW w:w="3058" w:type="dxa"/>
          </w:tcPr>
          <w:p>
            <w:pPr>
              <w:keepNext/>
              <w:widowControl w:val="false"/>
              <w:spacing w:after="0" w:line="240" w:lineRule="auto"/>
              <w:rPr>
                <w:b/>
              </w:rPr>
            </w:pPr>
          </w:p>
        </w:tc>
        <w:tc>
          <w:tcPr>
            <w:tcW w:w="2343" w:type="dxa"/>
          </w:tcPr>
          <w:p>
            <w:pPr>
              <w:pStyle w:val="NoSpacing"/>
              <w:keepNext/>
              <w:jc w:val="center"/>
              <w:rPr>
                <w:b/>
              </w:rPr>
            </w:pPr>
            <w:r>
              <w:rPr>
                <w:b/>
              </w:rPr>
              <w:t>Total</w:t>
            </w:r>
          </w:p>
        </w:tc>
      </w:tr>
      <w:tr>
        <w:trPr>
          <w:cantSplit w:val="true"/>
        </w:trPr>
        <w:tc>
          <w:tcPr>
            <w:vAlign w:val="bottom"/>
          </w:tcPr>
          <w:p>
            <w:pPr>
              <w:spacing w:beforeAutospacing="true" w:afterAutospacing="true"/>
              <w:jc w:val="left"/>
            </w:pPr>
            <w:r>
              <w:rPr>
                <w:rFonts w:ascii="Calibri" w:hAnsi="Calibri"/>
                <w:color w:val="000000"/>
                <w:sz w:val="22"/>
              </w:rPr>
              <w:t xml:space="preserve">Male</w:t>
            </w:r>
          </w:p>
        </w:tc>
        <w:tc>
          <w:tcPr>
            <w:vAlign w:val="bottom"/>
          </w:tcPr>
          <w:p>
            <w:pPr>
              <w:spacing w:beforeAutospacing="true" w:afterAutospacing="true"/>
              <w:jc w:val="right"/>
            </w:pPr>
            <w:r>
              <w:rPr>
                <w:rFonts w:ascii="Calibri" w:hAnsi="Calibri"/>
                <w:color w:val="000000"/>
                <w:sz w:val="22"/>
              </w:rPr>
              <w:t xml:space="preserve">3,017</w:t>
            </w:r>
          </w:p>
        </w:tc>
      </w:tr>
      <w:tr>
        <w:trPr>
          <w:cantSplit w:val="true"/>
        </w:trPr>
        <w:tc>
          <w:tcPr>
            <w:vAlign w:val="bottom"/>
          </w:tcPr>
          <w:p>
            <w:pPr>
              <w:spacing w:beforeAutospacing="true" w:afterAutospacing="true"/>
              <w:jc w:val="left"/>
            </w:pPr>
            <w:r>
              <w:rPr>
                <w:rFonts w:ascii="Calibri" w:hAnsi="Calibri"/>
                <w:color w:val="000000"/>
                <w:sz w:val="22"/>
              </w:rPr>
              <w:t xml:space="preserve">Female</w:t>
            </w:r>
          </w:p>
        </w:tc>
        <w:tc>
          <w:tcPr>
            <w:vAlign w:val="bottom"/>
          </w:tcPr>
          <w:p>
            <w:pPr>
              <w:spacing w:beforeAutospacing="true" w:afterAutospacing="true"/>
              <w:jc w:val="right"/>
            </w:pPr>
            <w:r>
              <w:rPr>
                <w:rFonts w:ascii="Calibri" w:hAnsi="Calibri"/>
                <w:color w:val="000000"/>
                <w:sz w:val="22"/>
              </w:rPr>
              <w:t xml:space="preserve">1,233</w:t>
            </w:r>
          </w:p>
        </w:tc>
      </w:tr>
      <w:tr>
        <w:trPr>
          <w:cantSplit w:val="true"/>
        </w:trPr>
        <w:tc>
          <w:tcPr>
            <w:vAlign w:val="bottom"/>
          </w:tcPr>
          <w:p>
            <w:pPr>
              <w:spacing w:beforeAutospacing="true" w:afterAutospacing="true"/>
              <w:jc w:val="left"/>
            </w:pPr>
            <w:r>
              <w:rPr>
                <w:rFonts w:ascii="Calibri" w:hAnsi="Calibri"/>
                <w:color w:val="000000"/>
                <w:sz w:val="22"/>
              </w:rPr>
              <w:t xml:space="preserve">Transgender</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color w:val="000000"/>
                <w:sz w:val="22"/>
              </w:rPr>
              <w:t xml:space="preserve">Don't Know/Refused/Other</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color w:val="000000"/>
                <w:sz w:val="22"/>
              </w:rPr>
              <w:t xml:space="preserve">Missing Information</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b/>
                <w:color w:val="000000"/>
                <w:sz w:val="22"/>
              </w:rPr>
              <w:t xml:space="preserve">Total</w:t>
            </w:r>
          </w:p>
        </w:tc>
        <w:tc>
          <w:tcPr>
            <w:vAlign w:val="bottom"/>
          </w:tcPr>
          <w:p>
            <w:pPr>
              <w:spacing w:beforeAutospacing="true" w:afterAutospacing="true"/>
              <w:jc w:val="right"/>
            </w:pPr>
            <w:r>
              <w:rPr>
                <w:rFonts w:ascii="Calibri" w:hAnsi="Calibri"/>
                <w:b/>
                <w:color w:val="000000"/>
                <w:sz w:val="22"/>
              </w:rPr>
              <w:t xml:space="preserve">4,250</w:t>
            </w:r>
          </w:p>
        </w:tc>
      </w:tr>
    </w:tbl>
    <w:p>
      <w:pPr>
        <w:pStyle w:val="Caption"/>
        <w:rPr>
          <w:rFonts w:asciiTheme="minorHAnsi" w:hAnsiTheme="minorHAnsi"/>
        </w:rPr>
      </w:pPr>
      <w:r>
        <w:rPr>
          <w:rFonts w:asciiTheme="minorHAnsi" w:hAnsiTheme="minorHAnsi"/>
        </w:rPr>
        <w:t>Table 21 – Gender Information</w:t>
      </w:r>
    </w:p>
    <w:p/>
    <w:p/>
    <w:p>
      <w:pPr>
        <w:keepNext/>
        <w:pageBreakBefore/>
        <w:widowControl w:val="false"/>
        <w:rPr>
          <w:b/>
          <w:sz w:val="24"/>
          <w:szCs w:val="24"/>
        </w:rPr>
      </w:pPr>
      <w:r>
        <w:rPr>
          <w:b/>
          <w:sz w:val="24"/>
          <w:szCs w:val="24"/>
        </w:rPr>
        <w:t>6. Age—Complete for All Activities</w:t>
      </w:r>
    </w:p>
    <w:tbl>
      <w:tblPr>
        <w:tblW w:w="2816"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firstRow="1" w:lastRow="1" w:firstColumn="1" w:lastColumn="1" w:noHBand="0" w:noVBand="0" w:val="01E0"/>
      </w:tblPr>
      <w:tblGrid>
        <w:gridCol w:w="3058"/>
        <w:gridCol w:w="2343"/>
      </w:tblGrid>
      <w:tr>
        <w:trPr>
          <w:cantSplit/>
        </w:trPr>
        <w:tc>
          <w:tcPr>
            <w:tcW w:w="3058" w:type="dxa"/>
          </w:tcPr>
          <w:p>
            <w:pPr>
              <w:keepNext/>
              <w:widowControl w:val="false"/>
              <w:spacing w:after="0" w:line="240" w:lineRule="auto"/>
              <w:rPr>
                <w:b/>
              </w:rPr>
            </w:pPr>
          </w:p>
        </w:tc>
        <w:tc>
          <w:tcPr>
            <w:tcW w:w="2343" w:type="dxa"/>
          </w:tcPr>
          <w:p>
            <w:pPr>
              <w:pStyle w:val="NoSpacing"/>
              <w:keepNext/>
              <w:jc w:val="center"/>
              <w:rPr>
                <w:b/>
              </w:rPr>
            </w:pPr>
            <w:r>
              <w:rPr>
                <w:b/>
              </w:rPr>
              <w:t>Total</w:t>
            </w:r>
          </w:p>
        </w:tc>
      </w:tr>
      <w:tr>
        <w:trPr>
          <w:cantSplit w:val="true"/>
        </w:trPr>
        <w:tc>
          <w:tcPr>
            <w:vAlign w:val="bottom"/>
          </w:tcPr>
          <w:p>
            <w:pPr>
              <w:spacing w:beforeAutospacing="true" w:afterAutospacing="true"/>
              <w:jc w:val="left"/>
            </w:pPr>
            <w:r>
              <w:rPr>
                <w:rFonts w:ascii="Calibri" w:hAnsi="Calibri"/>
                <w:color w:val="000000"/>
                <w:sz w:val="22"/>
              </w:rPr>
              <w:t xml:space="preserve">Under 18</w:t>
            </w:r>
          </w:p>
        </w:tc>
        <w:tc>
          <w:tcPr>
            <w:vAlign w:val="bottom"/>
          </w:tcPr>
          <w:p>
            <w:pPr>
              <w:spacing w:beforeAutospacing="true" w:afterAutospacing="true"/>
              <w:jc w:val="right"/>
            </w:pPr>
            <w:r>
              <w:rPr>
                <w:rFonts w:ascii="Calibri" w:hAnsi="Calibri"/>
                <w:color w:val="000000"/>
                <w:sz w:val="22"/>
              </w:rPr>
              <w:t xml:space="preserve">886</w:t>
            </w:r>
          </w:p>
        </w:tc>
      </w:tr>
      <w:tr>
        <w:trPr>
          <w:cantSplit w:val="true"/>
        </w:trPr>
        <w:tc>
          <w:tcPr>
            <w:vAlign w:val="bottom"/>
          </w:tcPr>
          <w:p>
            <w:pPr>
              <w:spacing w:beforeAutospacing="true" w:afterAutospacing="true"/>
              <w:jc w:val="left"/>
            </w:pPr>
            <w:r>
              <w:rPr>
                <w:rFonts w:ascii="Calibri" w:hAnsi="Calibri"/>
                <w:color w:val="000000"/>
                <w:sz w:val="22"/>
              </w:rPr>
              <w:t xml:space="preserve">18-24</w:t>
            </w:r>
          </w:p>
        </w:tc>
        <w:tc>
          <w:tcPr>
            <w:vAlign w:val="bottom"/>
          </w:tcPr>
          <w:p>
            <w:pPr>
              <w:spacing w:beforeAutospacing="true" w:afterAutospacing="true"/>
              <w:jc w:val="right"/>
            </w:pPr>
            <w:r>
              <w:rPr>
                <w:rFonts w:ascii="Calibri" w:hAnsi="Calibri"/>
                <w:color w:val="000000"/>
                <w:sz w:val="22"/>
              </w:rPr>
              <w:t xml:space="preserve">245</w:t>
            </w:r>
          </w:p>
        </w:tc>
      </w:tr>
      <w:tr>
        <w:trPr>
          <w:cantSplit w:val="true"/>
        </w:trPr>
        <w:tc>
          <w:tcPr>
            <w:vAlign w:val="bottom"/>
          </w:tcPr>
          <w:p>
            <w:pPr>
              <w:spacing w:beforeAutospacing="true" w:afterAutospacing="true"/>
              <w:jc w:val="left"/>
            </w:pPr>
            <w:r>
              <w:rPr>
                <w:rFonts w:ascii="Calibri" w:hAnsi="Calibri"/>
                <w:color w:val="000000"/>
                <w:sz w:val="22"/>
              </w:rPr>
              <w:t xml:space="preserve">25 and over</w:t>
            </w:r>
          </w:p>
        </w:tc>
        <w:tc>
          <w:tcPr>
            <w:vAlign w:val="bottom"/>
          </w:tcPr>
          <w:p>
            <w:pPr>
              <w:spacing w:beforeAutospacing="true" w:afterAutospacing="true"/>
              <w:jc w:val="right"/>
            </w:pPr>
            <w:r>
              <w:rPr>
                <w:rFonts w:ascii="Calibri" w:hAnsi="Calibri"/>
                <w:color w:val="000000"/>
                <w:sz w:val="22"/>
              </w:rPr>
              <w:t xml:space="preserve">3,119</w:t>
            </w:r>
          </w:p>
        </w:tc>
      </w:tr>
      <w:tr>
        <w:trPr>
          <w:cantSplit w:val="true"/>
        </w:trPr>
        <w:tc>
          <w:tcPr>
            <w:vAlign w:val="bottom"/>
          </w:tcPr>
          <w:p>
            <w:pPr>
              <w:spacing w:beforeAutospacing="true" w:afterAutospacing="true"/>
              <w:jc w:val="left"/>
            </w:pPr>
            <w:r>
              <w:rPr>
                <w:rFonts w:ascii="Calibri" w:hAnsi="Calibri"/>
                <w:color w:val="000000"/>
                <w:sz w:val="22"/>
              </w:rPr>
              <w:t xml:space="preserve">Don't Know/Refused/Other</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color w:val="000000"/>
                <w:sz w:val="22"/>
              </w:rPr>
              <w:t xml:space="preserve">Missing Information</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b/>
                <w:color w:val="000000"/>
                <w:sz w:val="22"/>
              </w:rPr>
              <w:t xml:space="preserve">Total</w:t>
            </w:r>
          </w:p>
        </w:tc>
        <w:tc>
          <w:tcPr>
            <w:vAlign w:val="bottom"/>
          </w:tcPr>
          <w:p>
            <w:pPr>
              <w:spacing w:beforeAutospacing="true" w:afterAutospacing="true"/>
              <w:jc w:val="right"/>
            </w:pPr>
            <w:r>
              <w:rPr>
                <w:rFonts w:ascii="Calibri" w:hAnsi="Calibri"/>
                <w:b/>
                <w:color w:val="000000"/>
                <w:sz w:val="22"/>
              </w:rPr>
              <w:t xml:space="preserve">4,250</w:t>
            </w:r>
          </w:p>
        </w:tc>
      </w:tr>
    </w:tbl>
    <w:p>
      <w:pPr>
        <w:pStyle w:val="Caption"/>
        <w:rPr>
          <w:rFonts w:asciiTheme="minorHAnsi" w:hAnsiTheme="minorHAnsi"/>
        </w:rPr>
      </w:pPr>
      <w:r>
        <w:rPr>
          <w:rFonts w:asciiTheme="minorHAnsi" w:hAnsiTheme="minorHAnsi"/>
        </w:rPr>
        <w:t>Table 22 – Age Information</w:t>
      </w:r>
    </w:p>
    <w:p>
      <w:pPr>
        <w:spacing w:after="0" w:line="240" w:lineRule="auto"/>
      </w:pPr>
    </w:p>
    <w:p/>
    <w:p>
      <w:pPr>
        <w:keepNext/>
        <w:widowControl w:val="false"/>
        <w:rPr>
          <w:b/>
          <w:sz w:val="24"/>
          <w:szCs w:val="24"/>
        </w:rPr>
      </w:pPr>
      <w:r>
        <w:rPr>
          <w:b/>
          <w:sz w:val="24"/>
          <w:szCs w:val="24"/>
        </w:rPr>
        <w:t>7. Special Populations Served—Complete for All Activities</w:t>
      </w:r>
    </w:p>
    <w:p>
      <w:pPr>
        <w:keepNext/>
        <w:widowControl w:val="false"/>
        <w:spacing w:after="0" w:line="240" w:lineRule="auto"/>
        <w:jc w:val="center"/>
        <w:rPr>
          <w:b/>
          <w:sz w:val="24"/>
          <w:szCs w:val="24"/>
        </w:rPr>
      </w:pPr>
      <w:r>
        <w:rPr>
          <w:b/>
          <w:sz w:val="24"/>
          <w:szCs w:val="24"/>
        </w:rPr>
        <w:t>Number of Persons in Households</w:t>
      </w:r>
    </w:p>
    <w:tbl>
      <w:tblPr>
        <w:tblW w:w="5000"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firstRow="1" w:lastRow="1" w:firstColumn="1" w:lastColumn="1" w:noHBand="0" w:noVBand="0" w:val="01E0"/>
      </w:tblPr>
      <w:tblGrid>
        <w:gridCol w:w="2160"/>
        <w:gridCol w:w="1739"/>
        <w:gridCol w:w="1896"/>
        <w:gridCol w:w="1908"/>
        <w:gridCol w:w="1887"/>
      </w:tblGrid>
      <w:tr>
        <w:trPr>
          <w:cantSplit/>
          <w:tblHeader/>
        </w:trPr>
        <w:tc>
          <w:tcPr>
            <w:tcW w:w="2160" w:type="dxa"/>
          </w:tcPr>
          <w:p>
            <w:pPr>
              <w:keepNext/>
              <w:spacing w:after="0" w:line="240" w:lineRule="auto"/>
              <w:ind w:right="432"/>
              <w:jc w:val="center"/>
              <w:rPr>
                <w:b/>
              </w:rPr>
            </w:pPr>
            <w:r>
              <w:rPr>
                <w:b/>
              </w:rPr>
              <w:t>Subpopulation</w:t>
            </w:r>
          </w:p>
        </w:tc>
        <w:tc>
          <w:tcPr>
            <w:tcW w:w="1739" w:type="dxa"/>
          </w:tcPr>
          <w:p>
            <w:pPr>
              <w:keepNext/>
              <w:spacing w:after="0" w:line="240" w:lineRule="auto"/>
              <w:ind w:right="432"/>
              <w:jc w:val="center"/>
              <w:rPr>
                <w:b/>
              </w:rPr>
            </w:pPr>
            <w:r>
              <w:rPr>
                <w:b/>
              </w:rPr>
              <w:t>Total</w:t>
            </w:r>
          </w:p>
        </w:tc>
        <w:tc>
          <w:tcPr>
            <w:tcW w:w="1896" w:type="dxa"/>
          </w:tcPr>
          <w:p>
            <w:pPr>
              <w:keepNext/>
              <w:spacing w:after="0" w:line="240" w:lineRule="auto"/>
              <w:ind w:right="432"/>
              <w:jc w:val="center"/>
              <w:rPr>
                <w:b/>
              </w:rPr>
            </w:pPr>
            <w:r>
              <w:rPr>
                <w:b/>
              </w:rPr>
              <w:t>Total Persons Served – Prevention</w:t>
            </w:r>
          </w:p>
        </w:tc>
        <w:tc>
          <w:tcPr>
            <w:tcW w:w="1908" w:type="dxa"/>
          </w:tcPr>
          <w:p>
            <w:pPr>
              <w:keepNext/>
              <w:spacing w:after="0" w:line="240" w:lineRule="auto"/>
              <w:ind w:right="432"/>
              <w:jc w:val="center"/>
              <w:rPr>
                <w:b/>
              </w:rPr>
            </w:pPr>
            <w:r>
              <w:rPr>
                <w:b/>
              </w:rPr>
              <w:t>Total Persons Served – RRH</w:t>
            </w:r>
          </w:p>
        </w:tc>
        <w:tc>
          <w:tcPr>
            <w:tcW w:w="1887" w:type="dxa"/>
          </w:tcPr>
          <w:p>
            <w:pPr>
              <w:keepNext/>
              <w:spacing w:after="0" w:line="240" w:lineRule="auto"/>
              <w:ind w:right="432"/>
              <w:jc w:val="center"/>
              <w:rPr>
                <w:b/>
              </w:rPr>
            </w:pPr>
            <w:r>
              <w:rPr>
                <w:b/>
              </w:rPr>
              <w:t>Total Persons Served in Emergency Shelters</w:t>
            </w:r>
          </w:p>
        </w:tc>
      </w:tr>
      <w:tr>
        <w:trPr>
          <w:cantSplit w:val="true"/>
        </w:trPr>
        <w:tc>
          <w:tcPr>
            <w:vAlign w:val="bottom"/>
          </w:tcPr>
          <w:p>
            <w:pPr>
              <w:spacing w:beforeAutospacing="true" w:afterAutospacing="true"/>
              <w:jc w:val="left"/>
            </w:pPr>
            <w:r>
              <w:rPr>
                <w:rFonts w:ascii="Calibri" w:hAnsi="Calibri"/>
                <w:color w:val="000000"/>
                <w:sz w:val="22"/>
              </w:rPr>
              <w:t xml:space="preserve">Veterans</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color w:val="000000"/>
                <w:sz w:val="22"/>
              </w:rPr>
              <w:t xml:space="preserve">Victims of Domestic Violence</w:t>
            </w:r>
          </w:p>
        </w:tc>
        <w:tc>
          <w:tcPr>
            <w:vAlign w:val="bottom"/>
          </w:tcPr>
          <w:p>
            <w:pPr>
              <w:spacing w:beforeAutospacing="true" w:afterAutospacing="true"/>
              <w:jc w:val="right"/>
            </w:pPr>
            <w:r>
              <w:rPr>
                <w:rFonts w:ascii="Calibri" w:hAnsi="Calibri"/>
                <w:color w:val="000000"/>
                <w:sz w:val="22"/>
              </w:rPr>
              <w:t xml:space="preserve">529</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color w:val="000000"/>
                <w:sz w:val="22"/>
              </w:rPr>
              <w:t xml:space="preserve">Elderly</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color w:val="000000"/>
                <w:sz w:val="22"/>
              </w:rPr>
              <w:t xml:space="preserve">HIV/AIDS</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color w:val="000000"/>
                <w:sz w:val="22"/>
              </w:rPr>
              <w:t xml:space="preserve">Chronically Homeless</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bl>
    <w:p>
      <w:pPr>
        <w:widowControl w:val="false"/>
        <w:spacing w:after="0" w:line="240" w:lineRule="auto"/>
        <w:rPr>
          <w:b/>
          <w:vanish/>
          <w:sz w:val="24"/>
          <w:szCs w:val="24"/>
        </w:rPr>
      </w:pPr>
    </w:p>
    <w:tbl>
      <w:tblPr>
        <w:tblW w:w="5000"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firstRow="1" w:lastRow="1" w:firstColumn="1" w:lastColumn="1" w:noHBand="0" w:noVBand="0" w:val="01E0"/>
      </w:tblPr>
      <w:tblGrid>
        <w:gridCol w:w="1992"/>
        <w:gridCol w:w="1907"/>
        <w:gridCol w:w="1896"/>
        <w:gridCol w:w="1908"/>
        <w:gridCol w:w="1887"/>
      </w:tblGrid>
      <w:tr>
        <w:trPr>
          <w:cantSplit/>
          <w:tblHeader/>
        </w:trPr>
        <w:tc>
          <w:tcPr>
            <w:tcW w:w="9590" w:type="dxa"/>
            <w:gridSpan w:val="5"/>
          </w:tcPr>
          <w:p>
            <w:pPr>
              <w:keepNext/>
              <w:spacing w:after="0" w:line="240" w:lineRule="auto"/>
              <w:ind w:right="432"/>
              <w:rPr>
                <w:b/>
              </w:rPr>
            </w:pPr>
            <w:r>
              <w:rPr>
                <w:b/>
              </w:rPr>
              <w:t>Persons with Disabilities:</w:t>
            </w:r>
          </w:p>
        </w:tc>
      </w:tr>
      <w:tr>
        <w:trPr>
          <w:cantSplit w:val="true"/>
        </w:trPr>
        <w:tc>
          <w:tcPr>
            <w:vAlign w:val="bottom"/>
          </w:tcPr>
          <w:p>
            <w:pPr>
              <w:spacing w:beforeAutospacing="true" w:afterAutospacing="true"/>
              <w:jc w:val="left"/>
            </w:pPr>
            <w:r>
              <w:rPr>
                <w:rFonts w:ascii="Calibri" w:hAnsi="Calibri"/>
                <w:color w:val="000000"/>
                <w:sz w:val="22"/>
              </w:rPr>
              <w:t xml:space="preserve">Severely Mentally Ill</w:t>
            </w:r>
          </w:p>
        </w:tc>
        <w:tc>
          <w:tcPr>
            <w:vAlign w:val="bottom"/>
          </w:tcPr>
          <w:p>
            <w:pPr>
              <w:spacing w:beforeAutospacing="true" w:afterAutospacing="true"/>
              <w:jc w:val="right"/>
            </w:pPr>
            <w:r>
              <w:rPr>
                <w:rFonts w:ascii="Calibri" w:hAnsi="Calibri"/>
                <w:color w:val="000000"/>
                <w:sz w:val="22"/>
              </w:rPr>
              <w:t xml:space="preserve">1,198</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color w:val="000000"/>
                <w:sz w:val="22"/>
              </w:rPr>
              <w:t xml:space="preserve">Chronic Substance Abuse</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color w:val="000000"/>
                <w:sz w:val="22"/>
              </w:rPr>
              <w:t xml:space="preserve">Other Disability</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color w:val="000000"/>
                <w:sz w:val="22"/>
              </w:rPr>
              <w:t xml:space="preserve">Total (Unduplicated if possible)</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bl>
    <w:p>
      <w:pPr>
        <w:pStyle w:val="Caption"/>
        <w:rPr>
          <w:rFonts w:asciiTheme="minorHAnsi" w:hAnsiTheme="minorHAnsi"/>
        </w:rPr>
      </w:pPr>
      <w:r>
        <w:rPr>
          <w:rFonts w:asciiTheme="minorHAnsi" w:hAnsiTheme="minorHAnsi"/>
        </w:rPr>
        <w:t>Table 23 – Special Population Served</w:t>
      </w:r>
    </w:p>
    <w:p>
      <w:pPr>
        <w:widowControl w:val="false"/>
        <w:spacing w:after="0" w:line="240" w:lineRule="auto"/>
      </w:pPr>
    </w:p>
    <w:p>
      <w:pPr>
        <w:widowControl w:val="false"/>
        <w:spacing w:after="0" w:line="240" w:lineRule="auto"/>
      </w:pPr>
    </w:p>
    <w:p>
      <w:pPr>
        <w:pStyle w:val="Heading2"/>
        <w:keepNext w:val="false"/>
        <w:pageBreakBefore/>
        <w:widowControl w:val="false"/>
        <w:rPr>
          <w:rFonts w:ascii="Calibri" w:hAnsi="Calibri"/>
          <w:i w:val="false"/>
        </w:rPr>
      </w:pPr>
      <w:r>
        <w:rPr>
          <w:rFonts w:ascii="Calibri" w:hAnsi="Calibri"/>
          <w:i w:val="false"/>
        </w:rPr>
        <w:t>CR-70 – ESG 91.520(g) - Assistance Provided and Outcomes</w:t>
      </w:r>
    </w:p>
    <w:p>
      <w:pPr>
        <w:keepNext/>
        <w:rPr>
          <w:b/>
          <w:sz w:val="24"/>
          <w:szCs w:val="24"/>
        </w:rPr>
      </w:pPr>
      <w:r>
        <w:rPr>
          <w:b/>
          <w:sz w:val="24"/>
          <w:szCs w:val="24"/>
        </w:rPr>
        <w:t xml:space="preserve">10.  Shelter Utilization </w:t>
      </w:r>
    </w:p>
    <w:tbl>
      <w:tblPr>
        <w:tblW w:w="5000"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firstRow="1" w:lastRow="1" w:firstColumn="1" w:lastColumn="1" w:noHBand="0" w:noVBand="0" w:val="01E0"/>
      </w:tblPr>
      <w:tblGrid>
        <w:gridCol w:w="4795"/>
        <w:gridCol w:w="4795"/>
      </w:tblGrid>
      <w:tr>
        <w:trPr>
          <w:cantSplit w:val="true"/>
        </w:trPr>
        <w:tc>
          <w:tcPr>
            <w:vAlign w:val="bottom"/>
          </w:tcPr>
          <w:p>
            <w:pPr>
              <w:spacing w:beforeAutospacing="true" w:afterAutospacing="true"/>
              <w:jc w:val="left"/>
            </w:pPr>
            <w:r>
              <w:rPr>
                <w:rFonts w:ascii="Calibri" w:hAnsi="Calibri"/>
                <w:color w:val="000000"/>
                <w:sz w:val="22"/>
              </w:rPr>
              <w:t xml:space="preserve">Number of New Units - Rehabbed</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color w:val="000000"/>
                <w:sz w:val="22"/>
              </w:rPr>
              <w:t xml:space="preserve">Number of New Units - Conversion</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color w:val="000000"/>
                <w:sz w:val="22"/>
              </w:rPr>
              <w:t xml:space="preserve">Total Number of bed-nights available</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color w:val="000000"/>
                <w:sz w:val="22"/>
              </w:rPr>
              <w:t xml:space="preserve">Total Number of bed-nights provided</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color w:val="000000"/>
                <w:sz w:val="22"/>
              </w:rPr>
              <w:t xml:space="preserve">Capacity Utilization</w:t>
            </w:r>
          </w:p>
        </w:tc>
        <w:tc>
          <w:tcPr>
            <w:vAlign w:val="bottom"/>
          </w:tcPr>
          <w:p>
            <w:pPr>
              <w:spacing w:beforeAutospacing="true" w:afterAutospacing="true"/>
              <w:jc w:val="right"/>
            </w:pPr>
            <w:r>
              <w:rPr>
                <w:rFonts w:ascii="Calibri" w:hAnsi="Calibri"/>
                <w:color w:val="000000"/>
                <w:sz w:val="22"/>
              </w:rPr>
              <w:t xml:space="preserve">0.00%</w:t>
            </w:r>
          </w:p>
        </w:tc>
      </w:tr>
    </w:tbl>
    <w:p>
      <w:pPr>
        <w:pStyle w:val="Caption"/>
        <w:jc w:val="center"/>
        <w:rPr>
          <w:rFonts w:asciiTheme="minorHAnsi" w:hAnsiTheme="minorHAnsi"/>
        </w:rPr>
      </w:pPr>
      <w:r>
        <w:rPr>
          <w:rFonts w:asciiTheme="minorHAnsi" w:hAnsiTheme="minorHAnsi"/>
        </w:rPr>
        <w:t>Table 24</w:t>
        <w:tab/>
        <w:t xml:space="preserve"> – Shelter Capacity</w:t>
      </w:r>
    </w:p>
    <w:p>
      <w:pPr>
        <w:spacing w:after="0" w:line="240" w:lineRule="auto"/>
        <w:rPr>
          <w:rFonts w:cs="Arial"/>
        </w:rPr>
      </w:pPr>
    </w:p>
    <w:p>
      <w:pPr>
        <w:rPr>
          <w:rFonts w:cs="Arial"/>
        </w:rPr>
      </w:pPr>
    </w:p>
    <w:p>
      <w:pPr>
        <w:rPr>
          <w:rFonts w:cs="Arial"/>
        </w:rPr>
      </w:pPr>
    </w:p>
    <w:p>
      <w:pPr>
        <w:keepNext/>
        <w:rPr>
          <w:b/>
          <w:sz w:val="24"/>
          <w:szCs w:val="24"/>
        </w:rPr>
      </w:pPr>
      <w:r>
        <w:rPr>
          <w:b/>
          <w:sz w:val="24"/>
          <w:szCs w:val="24"/>
        </w:rPr>
        <w:t xml:space="preserve">11.  Project Outcomes Data measured under the performance standards developed in consultation with the CoC(s) </w:t>
      </w:r>
    </w:p>
    <w:p>
      <w:pPr>
        <w:widowControl w:val="false"/>
        <w:spacing w:beforeAutospacing="true" w:afterAutospacing="true"/>
        <w:rPr>
          <w:rFonts w:cs="Arial"/>
        </w:rPr>
      </w:pPr>
      <w:r>
        <w:rPr>
          <w:rFonts w:cs="Arial"/>
        </w:rPr>
        <w:t xml:space="preserve">Please see the SAGES attachement for more detail on ESG performance metrics. </w:t>
      </w:r>
    </w:p>
    <w:p>
      <w:pPr>
        <w:pStyle w:val="Heading2"/>
        <w:keepNext w:val="false"/>
        <w:pageBreakBefore/>
        <w:widowControl w:val="false"/>
        <w:rPr>
          <w:rFonts w:ascii="Calibri" w:hAnsi="Calibri"/>
          <w:i w:val="false"/>
        </w:rPr>
      </w:pPr>
      <w:r>
        <w:rPr>
          <w:rFonts w:ascii="Calibri" w:hAnsi="Calibri"/>
          <w:i w:val="false"/>
        </w:rPr>
        <w:t>CR-75 – Expenditures</w:t>
      </w:r>
    </w:p>
    <w:p>
      <w:pPr>
        <w:keepNext/>
        <w:rPr>
          <w:b/>
          <w:sz w:val="24"/>
          <w:szCs w:val="24"/>
        </w:rPr>
      </w:pPr>
      <w:r>
        <w:rPr>
          <w:b/>
          <w:sz w:val="24"/>
          <w:szCs w:val="24"/>
        </w:rPr>
        <w:t>11. Expenditures</w:t>
      </w:r>
    </w:p>
    <w:p>
      <w:pPr>
        <w:keepNext/>
        <w:rPr>
          <w:b/>
          <w:sz w:val="24"/>
          <w:szCs w:val="24"/>
        </w:rPr>
      </w:pPr>
      <w:r>
        <w:rPr>
          <w:b/>
          <w:sz w:val="24"/>
          <w:szCs w:val="24"/>
        </w:rPr>
        <w:t>11a. ESG Expenditures for Homelessness Prevention</w:t>
      </w:r>
    </w:p>
    <w:tbl>
      <w:tblPr>
        <w:tblW w:w="5000"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firstRow="1" w:lastRow="1" w:firstColumn="1" w:lastColumn="1" w:noHBand="0" w:noVBand="0" w:val="01E0"/>
      </w:tblPr>
      <w:tblGrid>
        <w:gridCol w:w="4500"/>
        <w:gridCol w:w="1696"/>
        <w:gridCol w:w="1697"/>
        <w:gridCol w:w="1697"/>
      </w:tblGrid>
      <w:tr>
        <w:trPr>
          <w:cantSplit/>
        </w:trPr>
        <w:tc>
          <w:tcPr>
            <w:tcW w:w="4500" w:type="dxa"/>
          </w:tcPr>
          <w:p>
            <w:pPr>
              <w:keepNext/>
              <w:spacing w:after="0" w:line="240" w:lineRule="auto"/>
            </w:pPr>
          </w:p>
        </w:tc>
        <w:tc>
          <w:tcPr>
            <w:tcW w:w="5090" w:type="dxa"/>
            <w:gridSpan w:val="3"/>
          </w:tcPr>
          <w:p>
            <w:pPr>
              <w:keepNext/>
              <w:spacing w:after="0" w:line="240" w:lineRule="auto"/>
              <w:jc w:val="center"/>
            </w:pPr>
            <w:r>
              <w:rPr>
                <w:b/>
              </w:rPr>
              <w:t>Dollar Amount of Expenditures in Program Year</w:t>
            </w:r>
          </w:p>
        </w:tc>
      </w:tr>
      <w:tr>
        <w:trPr>
          <w:cantSplit/>
        </w:trPr>
        <w:tc>
          <w:tcPr>
            <w:tcW w:w="4500" w:type="dxa"/>
          </w:tcPr>
          <w:p>
            <w:pPr>
              <w:keepNext/>
              <w:spacing w:after="0" w:line="240" w:lineRule="auto"/>
            </w:pPr>
          </w:p>
        </w:tc>
        <w:tc>
          <w:tcPr>
            <w:tcW w:w="1696" w:type="dxa"/>
          </w:tcPr>
          <w:p>
            <w:pPr>
              <w:keepNext/>
              <w:spacing w:beforeAutospacing="true" w:afterAutospacing="true"/>
              <w:jc w:val="center"/>
              <w:rPr>
                <w:b/>
              </w:rPr>
            </w:pPr>
            <w:r>
              <w:rPr>
                <w:b/>
              </w:rPr>
              <w:t xml:space="preserve">2017</w:t>
            </w:r>
          </w:p>
        </w:tc>
        <w:tc>
          <w:tcPr>
            <w:tcW w:w="1697" w:type="dxa"/>
          </w:tcPr>
          <w:p>
            <w:pPr>
              <w:keepNext/>
              <w:spacing w:beforeAutospacing="true" w:afterAutospacing="true"/>
              <w:jc w:val="center"/>
              <w:rPr>
                <w:b/>
              </w:rPr>
            </w:pPr>
            <w:r>
              <w:rPr>
                <w:b/>
              </w:rPr>
              <w:t xml:space="preserve">2018</w:t>
            </w:r>
          </w:p>
        </w:tc>
        <w:tc>
          <w:tcPr>
            <w:tcW w:w="1697" w:type="dxa"/>
          </w:tcPr>
          <w:p>
            <w:pPr>
              <w:keepNext/>
              <w:spacing w:beforeAutospacing="true" w:afterAutospacing="true"/>
              <w:jc w:val="center"/>
              <w:rPr>
                <w:b/>
              </w:rPr>
            </w:pPr>
            <w:r>
              <w:rPr>
                <w:b/>
              </w:rPr>
              <w:t xml:space="preserve">2019</w:t>
            </w:r>
          </w:p>
        </w:tc>
      </w:tr>
      <w:tr>
        <w:trPr>
          <w:cantSplit w:val="true"/>
        </w:trPr>
        <w:tc>
          <w:tcPr>
            <w:vAlign w:val="bottom"/>
          </w:tcPr>
          <w:p>
            <w:pPr>
              <w:spacing w:beforeAutospacing="true" w:afterAutospacing="true"/>
              <w:jc w:val="left"/>
            </w:pPr>
            <w:r>
              <w:rPr>
                <w:rFonts w:ascii="Calibri" w:hAnsi="Calibri"/>
                <w:color w:val="000000"/>
                <w:sz w:val="22"/>
              </w:rPr>
              <w:t xml:space="preserve">Expenditures for Rental Assistance</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6,694</w:t>
            </w:r>
          </w:p>
        </w:tc>
      </w:tr>
      <w:tr>
        <w:trPr>
          <w:cantSplit w:val="true"/>
        </w:trPr>
        <w:tc>
          <w:tcPr>
            <w:vAlign w:val="bottom"/>
          </w:tcPr>
          <w:p>
            <w:pPr>
              <w:spacing w:beforeAutospacing="true" w:afterAutospacing="true"/>
              <w:jc w:val="left"/>
            </w:pPr>
            <w:r>
              <w:rPr>
                <w:rFonts w:ascii="Calibri" w:hAnsi="Calibri"/>
                <w:color w:val="000000"/>
                <w:sz w:val="22"/>
              </w:rPr>
              <w:t xml:space="preserve">Expenditures for Housing Relocation and Stabilization Services - Financial Assistance</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color w:val="000000"/>
                <w:sz w:val="22"/>
              </w:rPr>
              <w:t xml:space="preserve">Expenditures for Housing Relocation &amp; Stabilization Services - Services</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color w:val="000000"/>
                <w:sz w:val="22"/>
              </w:rPr>
              <w:t xml:space="preserve">Expenditures for Homeless Prevention under Emergency Shelter Grants Program</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b/>
                <w:color w:val="000000"/>
                <w:sz w:val="22"/>
              </w:rPr>
              <w:t xml:space="preserve">Subtotal Homelessness Prevention</w:t>
            </w:r>
          </w:p>
        </w:tc>
        <w:tc>
          <w:tcPr>
            <w:vAlign w:val="bottom"/>
          </w:tcPr>
          <w:p>
            <w:pPr>
              <w:spacing w:beforeAutospacing="true" w:afterAutospacing="true"/>
              <w:jc w:val="right"/>
            </w:pPr>
            <w:r>
              <w:rPr>
                <w:rFonts w:ascii="Calibri" w:hAnsi="Calibri"/>
                <w:b/>
                <w:color w:val="000000"/>
                <w:sz w:val="22"/>
              </w:rPr>
              <w:t xml:space="preserve">0</w:t>
            </w:r>
          </w:p>
        </w:tc>
        <w:tc>
          <w:tcPr>
            <w:vAlign w:val="bottom"/>
          </w:tcPr>
          <w:p>
            <w:pPr>
              <w:spacing w:beforeAutospacing="true" w:afterAutospacing="true"/>
              <w:jc w:val="right"/>
            </w:pPr>
            <w:r>
              <w:rPr>
                <w:rFonts w:ascii="Calibri" w:hAnsi="Calibri"/>
                <w:b/>
                <w:color w:val="000000"/>
                <w:sz w:val="22"/>
              </w:rPr>
              <w:t xml:space="preserve">0</w:t>
            </w:r>
          </w:p>
        </w:tc>
        <w:tc>
          <w:tcPr>
            <w:vAlign w:val="bottom"/>
          </w:tcPr>
          <w:p>
            <w:pPr>
              <w:spacing w:beforeAutospacing="true" w:afterAutospacing="true"/>
              <w:jc w:val="right"/>
            </w:pPr>
            <w:r>
              <w:rPr>
                <w:rFonts w:ascii="Calibri" w:hAnsi="Calibri"/>
                <w:b/>
                <w:color w:val="000000"/>
                <w:sz w:val="22"/>
              </w:rPr>
              <w:t xml:space="preserve">6,694</w:t>
            </w:r>
          </w:p>
        </w:tc>
      </w:tr>
    </w:tbl>
    <w:p>
      <w:pPr>
        <w:pStyle w:val="Caption"/>
        <w:jc w:val="center"/>
        <w:rPr>
          <w:rFonts w:asciiTheme="minorHAnsi" w:hAnsiTheme="minorHAnsi"/>
        </w:rPr>
      </w:pPr>
      <w:r>
        <w:rPr>
          <w:rFonts w:asciiTheme="minorHAnsi" w:hAnsiTheme="minorHAnsi"/>
        </w:rPr>
        <w:t>Table 25 – ESG Expenditures for Homelessness Prevention</w:t>
      </w:r>
    </w:p>
    <w:p>
      <w:pPr>
        <w:rPr>
          <w:rFonts w:cs="Arial"/>
        </w:rPr>
      </w:pPr>
    </w:p>
    <w:p>
      <w:pPr>
        <w:rPr>
          <w:rFonts w:cs="Arial"/>
        </w:rPr>
      </w:pPr>
    </w:p>
    <w:p>
      <w:pPr>
        <w:keepNext/>
        <w:rPr>
          <w:b/>
          <w:sz w:val="24"/>
          <w:szCs w:val="24"/>
        </w:rPr>
      </w:pPr>
      <w:r>
        <w:rPr>
          <w:b/>
          <w:sz w:val="24"/>
          <w:szCs w:val="24"/>
        </w:rPr>
        <w:t>11b. ESG Expenditures for Rapid Re-Housing</w:t>
      </w:r>
    </w:p>
    <w:tbl>
      <w:tblPr>
        <w:tblW w:w="5000"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firstRow="1" w:lastRow="1" w:firstColumn="1" w:lastColumn="1" w:noHBand="0" w:noVBand="0" w:val="01E0"/>
      </w:tblPr>
      <w:tblGrid>
        <w:gridCol w:w="4500"/>
        <w:gridCol w:w="1696"/>
        <w:gridCol w:w="1697"/>
        <w:gridCol w:w="1697"/>
      </w:tblGrid>
      <w:tr>
        <w:trPr>
          <w:cantSplit/>
        </w:trPr>
        <w:tc>
          <w:tcPr>
            <w:tcW w:w="4500" w:type="dxa"/>
          </w:tcPr>
          <w:p>
            <w:pPr>
              <w:keepNext/>
              <w:spacing w:after="0" w:line="240" w:lineRule="auto"/>
            </w:pPr>
          </w:p>
        </w:tc>
        <w:tc>
          <w:tcPr>
            <w:tcW w:w="5090" w:type="dxa"/>
            <w:gridSpan w:val="3"/>
          </w:tcPr>
          <w:p>
            <w:pPr>
              <w:keepNext/>
              <w:spacing w:after="0" w:line="240" w:lineRule="auto"/>
              <w:jc w:val="center"/>
            </w:pPr>
            <w:r>
              <w:rPr>
                <w:b/>
              </w:rPr>
              <w:t>Dollar Amount of Expenditures in Program Year</w:t>
            </w:r>
          </w:p>
        </w:tc>
      </w:tr>
      <w:tr>
        <w:trPr>
          <w:cantSplit/>
        </w:trPr>
        <w:tc>
          <w:tcPr>
            <w:tcW w:w="4500" w:type="dxa"/>
          </w:tcPr>
          <w:p>
            <w:pPr>
              <w:keepNext/>
              <w:spacing w:after="0" w:line="240" w:lineRule="auto"/>
            </w:pPr>
          </w:p>
        </w:tc>
        <w:tc>
          <w:tcPr>
            <w:tcW w:w="1696" w:type="dxa"/>
          </w:tcPr>
          <w:p>
            <w:pPr>
              <w:keepNext/>
              <w:spacing w:beforeAutospacing="true" w:afterAutospacing="true"/>
              <w:jc w:val="center"/>
              <w:rPr>
                <w:b/>
              </w:rPr>
            </w:pPr>
            <w:r>
              <w:rPr>
                <w:b/>
              </w:rPr>
              <w:t xml:space="preserve">2017</w:t>
            </w:r>
          </w:p>
        </w:tc>
        <w:tc>
          <w:tcPr>
            <w:tcW w:w="1697" w:type="dxa"/>
          </w:tcPr>
          <w:p>
            <w:pPr>
              <w:keepNext/>
              <w:spacing w:beforeAutospacing="true" w:afterAutospacing="true"/>
              <w:jc w:val="center"/>
              <w:rPr>
                <w:b/>
              </w:rPr>
            </w:pPr>
            <w:r>
              <w:rPr>
                <w:b/>
              </w:rPr>
              <w:t xml:space="preserve">2018</w:t>
            </w:r>
          </w:p>
        </w:tc>
        <w:tc>
          <w:tcPr>
            <w:tcW w:w="1697" w:type="dxa"/>
          </w:tcPr>
          <w:p>
            <w:pPr>
              <w:keepNext/>
              <w:spacing w:beforeAutospacing="true" w:afterAutospacing="true"/>
              <w:jc w:val="center"/>
              <w:rPr>
                <w:b/>
              </w:rPr>
            </w:pPr>
            <w:r>
              <w:rPr>
                <w:b/>
              </w:rPr>
              <w:t xml:space="preserve">2019</w:t>
            </w:r>
          </w:p>
        </w:tc>
      </w:tr>
      <w:tr>
        <w:trPr>
          <w:cantSplit w:val="true"/>
        </w:trPr>
        <w:tc>
          <w:tcPr>
            <w:vAlign w:val="bottom"/>
          </w:tcPr>
          <w:p>
            <w:pPr>
              <w:spacing w:beforeAutospacing="true" w:afterAutospacing="true"/>
              <w:jc w:val="left"/>
            </w:pPr>
            <w:r>
              <w:rPr>
                <w:rFonts w:ascii="Calibri" w:hAnsi="Calibri"/>
                <w:color w:val="000000"/>
                <w:sz w:val="22"/>
              </w:rPr>
              <w:t xml:space="preserve">Expenditures for Rental Assistance</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color w:val="000000"/>
                <w:sz w:val="22"/>
              </w:rPr>
              <w:t xml:space="preserve">Expenditures for Housing Relocation and Stabilization Services - Financial Assistance</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color w:val="000000"/>
                <w:sz w:val="22"/>
              </w:rPr>
              <w:t xml:space="preserve">Expenditures for Housing Relocation &amp; Stabilization Services - Services</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color w:val="000000"/>
                <w:sz w:val="22"/>
              </w:rPr>
              <w:t xml:space="preserve">Expenditures for Homeless Assistance under Emergency Shelter Grants Program</w:t>
            </w:r>
          </w:p>
        </w:tc>
        <w:tc>
          <w:tcPr>
            <w:vAlign w:val="bottom"/>
          </w:tcPr>
          <w:p>
            <w:pPr>
              <w:spacing w:beforeAutospacing="true" w:afterAutospacing="true"/>
              <w:jc w:val="right"/>
            </w:pPr>
            <w:r>
              <w:rPr>
                <w:rFonts w:ascii="Calibri" w:hAnsi="Calibri"/>
                <w:color w:val="000000"/>
                <w:sz w:val="22"/>
              </w:rPr>
              <w:t xml:space="preserve">279,596</w:t>
            </w:r>
          </w:p>
        </w:tc>
        <w:tc>
          <w:tcPr>
            <w:vAlign w:val="bottom"/>
          </w:tcPr>
          <w:p>
            <w:pPr>
              <w:spacing w:beforeAutospacing="true" w:afterAutospacing="true"/>
              <w:jc w:val="right"/>
            </w:pPr>
            <w:r>
              <w:rPr>
                <w:rFonts w:ascii="Calibri" w:hAnsi="Calibri"/>
                <w:color w:val="000000"/>
                <w:sz w:val="22"/>
              </w:rPr>
              <w:t xml:space="preserve">83,756</w:t>
            </w:r>
          </w:p>
        </w:tc>
        <w:tc>
          <w:tcPr>
            <w:vAlign w:val="bottom"/>
          </w:tcPr>
          <w:p>
            <w:pPr>
              <w:spacing w:beforeAutospacing="true" w:afterAutospacing="true"/>
              <w:jc w:val="right"/>
            </w:pPr>
            <w:r>
              <w:rPr>
                <w:rFonts w:ascii="Calibri" w:hAnsi="Calibri"/>
                <w:color w:val="000000"/>
                <w:sz w:val="22"/>
              </w:rPr>
              <w:t xml:space="preserve">220,616</w:t>
            </w:r>
          </w:p>
        </w:tc>
      </w:tr>
      <w:tr>
        <w:trPr>
          <w:cantSplit w:val="true"/>
        </w:trPr>
        <w:tc>
          <w:tcPr>
            <w:vAlign w:val="bottom"/>
          </w:tcPr>
          <w:p>
            <w:pPr>
              <w:spacing w:beforeAutospacing="true" w:afterAutospacing="true"/>
              <w:jc w:val="left"/>
            </w:pPr>
            <w:r>
              <w:rPr>
                <w:rFonts w:ascii="Calibri" w:hAnsi="Calibri"/>
                <w:b/>
                <w:color w:val="000000"/>
                <w:sz w:val="22"/>
              </w:rPr>
              <w:t xml:space="preserve">Subtotal Rapid Re-Housing</w:t>
            </w:r>
          </w:p>
        </w:tc>
        <w:tc>
          <w:tcPr>
            <w:vAlign w:val="bottom"/>
          </w:tcPr>
          <w:p>
            <w:pPr>
              <w:spacing w:beforeAutospacing="true" w:afterAutospacing="true"/>
              <w:jc w:val="right"/>
            </w:pPr>
            <w:r>
              <w:rPr>
                <w:rFonts w:ascii="Calibri" w:hAnsi="Calibri"/>
                <w:b/>
                <w:color w:val="000000"/>
                <w:sz w:val="22"/>
              </w:rPr>
              <w:t xml:space="preserve">279,596</w:t>
            </w:r>
          </w:p>
        </w:tc>
        <w:tc>
          <w:tcPr>
            <w:vAlign w:val="bottom"/>
          </w:tcPr>
          <w:p>
            <w:pPr>
              <w:spacing w:beforeAutospacing="true" w:afterAutospacing="true"/>
              <w:jc w:val="right"/>
            </w:pPr>
            <w:r>
              <w:rPr>
                <w:rFonts w:ascii="Calibri" w:hAnsi="Calibri"/>
                <w:b/>
                <w:color w:val="000000"/>
                <w:sz w:val="22"/>
              </w:rPr>
              <w:t xml:space="preserve">83,756</w:t>
            </w:r>
          </w:p>
        </w:tc>
        <w:tc>
          <w:tcPr>
            <w:vAlign w:val="bottom"/>
          </w:tcPr>
          <w:p>
            <w:pPr>
              <w:spacing w:beforeAutospacing="true" w:afterAutospacing="true"/>
              <w:jc w:val="right"/>
            </w:pPr>
            <w:r>
              <w:rPr>
                <w:rFonts w:ascii="Calibri" w:hAnsi="Calibri"/>
                <w:b/>
                <w:color w:val="000000"/>
                <w:sz w:val="22"/>
              </w:rPr>
              <w:t xml:space="preserve">220,616</w:t>
            </w:r>
          </w:p>
        </w:tc>
      </w:tr>
    </w:tbl>
    <w:p>
      <w:pPr>
        <w:pStyle w:val="Caption"/>
        <w:jc w:val="center"/>
        <w:rPr>
          <w:rFonts w:asciiTheme="minorHAnsi" w:hAnsiTheme="minorHAnsi"/>
        </w:rPr>
      </w:pPr>
      <w:r>
        <w:rPr>
          <w:rFonts w:asciiTheme="minorHAnsi" w:hAnsiTheme="minorHAnsi"/>
        </w:rPr>
        <w:t>Table 26 – ESG Expenditures for Rapid Re-Housing</w:t>
      </w:r>
    </w:p>
    <w:p>
      <w:pPr>
        <w:spacing w:after="0" w:line="240" w:lineRule="auto"/>
        <w:rPr>
          <w:rFonts w:cs="Arial"/>
        </w:rPr>
      </w:pPr>
    </w:p>
    <w:p>
      <w:pPr>
        <w:rPr>
          <w:rFonts w:cs="Arial"/>
        </w:rPr>
      </w:pPr>
    </w:p>
    <w:p>
      <w:pPr>
        <w:keepNext/>
        <w:rPr>
          <w:b/>
          <w:sz w:val="24"/>
          <w:szCs w:val="24"/>
        </w:rPr>
      </w:pPr>
      <w:r>
        <w:rPr>
          <w:b/>
          <w:sz w:val="24"/>
          <w:szCs w:val="24"/>
        </w:rPr>
        <w:t>11c. ESG Expenditures for Emergency Shelter</w:t>
      </w:r>
    </w:p>
    <w:tbl>
      <w:tblPr>
        <w:tblW w:w="5000"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firstRow="1" w:lastRow="1" w:firstColumn="1" w:lastColumn="1" w:noHBand="0" w:noVBand="0" w:val="01E0"/>
      </w:tblPr>
      <w:tblGrid>
        <w:gridCol w:w="4500"/>
        <w:gridCol w:w="1696"/>
        <w:gridCol w:w="1697"/>
        <w:gridCol w:w="1697"/>
      </w:tblGrid>
      <w:tr>
        <w:trPr>
          <w:cantSplit/>
        </w:trPr>
        <w:tc>
          <w:tcPr>
            <w:tcW w:w="4500" w:type="dxa"/>
          </w:tcPr>
          <w:p>
            <w:pPr>
              <w:keepNext/>
              <w:spacing w:after="0" w:line="240" w:lineRule="auto"/>
            </w:pPr>
          </w:p>
        </w:tc>
        <w:tc>
          <w:tcPr>
            <w:tcW w:w="5090" w:type="dxa"/>
            <w:gridSpan w:val="3"/>
          </w:tcPr>
          <w:p>
            <w:pPr>
              <w:keepNext/>
              <w:spacing w:after="0" w:line="240" w:lineRule="auto"/>
              <w:jc w:val="center"/>
            </w:pPr>
            <w:r>
              <w:rPr>
                <w:b/>
              </w:rPr>
              <w:t>Dollar Amount of Expenditures in Program Year</w:t>
            </w:r>
          </w:p>
        </w:tc>
      </w:tr>
      <w:tr>
        <w:trPr>
          <w:cantSplit/>
        </w:trPr>
        <w:tc>
          <w:tcPr>
            <w:tcW w:w="4500" w:type="dxa"/>
          </w:tcPr>
          <w:p>
            <w:pPr>
              <w:keepNext/>
              <w:spacing w:after="0" w:line="240" w:lineRule="auto"/>
            </w:pPr>
          </w:p>
        </w:tc>
        <w:tc>
          <w:tcPr>
            <w:tcW w:w="1696" w:type="dxa"/>
          </w:tcPr>
          <w:p>
            <w:pPr>
              <w:keepNext/>
              <w:spacing w:beforeAutospacing="true" w:afterAutospacing="true"/>
              <w:jc w:val="center"/>
              <w:rPr>
                <w:b/>
              </w:rPr>
            </w:pPr>
            <w:r>
              <w:rPr>
                <w:b/>
              </w:rPr>
              <w:t xml:space="preserve">2017</w:t>
            </w:r>
          </w:p>
        </w:tc>
        <w:tc>
          <w:tcPr>
            <w:tcW w:w="1697" w:type="dxa"/>
          </w:tcPr>
          <w:p>
            <w:pPr>
              <w:keepNext/>
              <w:spacing w:beforeAutospacing="true" w:afterAutospacing="true"/>
              <w:jc w:val="center"/>
              <w:rPr>
                <w:b/>
              </w:rPr>
            </w:pPr>
            <w:r>
              <w:rPr>
                <w:b/>
              </w:rPr>
              <w:t xml:space="preserve">2018</w:t>
            </w:r>
          </w:p>
        </w:tc>
        <w:tc>
          <w:tcPr>
            <w:tcW w:w="1697" w:type="dxa"/>
          </w:tcPr>
          <w:p>
            <w:pPr>
              <w:keepNext/>
              <w:spacing w:beforeAutospacing="true" w:afterAutospacing="true"/>
              <w:jc w:val="center"/>
              <w:rPr>
                <w:b/>
              </w:rPr>
            </w:pPr>
            <w:r>
              <w:rPr>
                <w:b/>
              </w:rPr>
              <w:t xml:space="preserve">2019</w:t>
            </w:r>
          </w:p>
        </w:tc>
      </w:tr>
      <w:tr>
        <w:trPr>
          <w:cantSplit w:val="true"/>
        </w:trPr>
        <w:tc>
          <w:tcPr>
            <w:vAlign w:val="bottom"/>
          </w:tcPr>
          <w:p>
            <w:pPr>
              <w:spacing w:beforeAutospacing="true" w:afterAutospacing="true"/>
              <w:jc w:val="left"/>
            </w:pPr>
            <w:r>
              <w:rPr>
                <w:rFonts w:ascii="Calibri" w:hAnsi="Calibri"/>
                <w:color w:val="000000"/>
                <w:sz w:val="22"/>
              </w:rPr>
              <w:t xml:space="preserve">Essential Services</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color w:val="000000"/>
                <w:sz w:val="22"/>
              </w:rPr>
              <w:t xml:space="preserve">Operations</w:t>
            </w:r>
          </w:p>
        </w:tc>
        <w:tc>
          <w:tcPr>
            <w:vAlign w:val="bottom"/>
          </w:tcPr>
          <w:p>
            <w:pPr>
              <w:spacing w:beforeAutospacing="true" w:afterAutospacing="true"/>
              <w:jc w:val="right"/>
            </w:pPr>
            <w:r>
              <w:rPr>
                <w:rFonts w:ascii="Calibri" w:hAnsi="Calibri"/>
                <w:color w:val="000000"/>
                <w:sz w:val="22"/>
              </w:rPr>
              <w:t xml:space="preserve">283,037</w:t>
            </w:r>
          </w:p>
        </w:tc>
        <w:tc>
          <w:tcPr>
            <w:vAlign w:val="bottom"/>
          </w:tcPr>
          <w:p>
            <w:pPr>
              <w:spacing w:beforeAutospacing="true" w:afterAutospacing="true"/>
              <w:jc w:val="right"/>
            </w:pPr>
            <w:r>
              <w:rPr>
                <w:rFonts w:ascii="Calibri" w:hAnsi="Calibri"/>
                <w:color w:val="000000"/>
                <w:sz w:val="22"/>
              </w:rPr>
              <w:t xml:space="preserve">29,695</w:t>
            </w:r>
          </w:p>
        </w:tc>
        <w:tc>
          <w:tcPr>
            <w:vAlign w:val="bottom"/>
          </w:tcPr>
          <w:p>
            <w:pPr>
              <w:spacing w:beforeAutospacing="true" w:afterAutospacing="true"/>
              <w:jc w:val="right"/>
            </w:pPr>
            <w:r>
              <w:rPr>
                <w:rFonts w:ascii="Calibri" w:hAnsi="Calibri"/>
                <w:color w:val="000000"/>
                <w:sz w:val="22"/>
              </w:rPr>
              <w:t xml:space="preserve">179,935</w:t>
            </w:r>
          </w:p>
        </w:tc>
      </w:tr>
      <w:tr>
        <w:trPr>
          <w:cantSplit w:val="true"/>
        </w:trPr>
        <w:tc>
          <w:tcPr>
            <w:vAlign w:val="bottom"/>
          </w:tcPr>
          <w:p>
            <w:pPr>
              <w:spacing w:beforeAutospacing="true" w:afterAutospacing="true"/>
              <w:jc w:val="left"/>
            </w:pPr>
            <w:r>
              <w:rPr>
                <w:rFonts w:ascii="Calibri" w:hAnsi="Calibri"/>
                <w:color w:val="000000"/>
                <w:sz w:val="22"/>
              </w:rPr>
              <w:t xml:space="preserve">Renovation</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color w:val="000000"/>
                <w:sz w:val="22"/>
              </w:rPr>
              <w:t xml:space="preserve">Major Rehab</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color w:val="000000"/>
                <w:sz w:val="22"/>
              </w:rPr>
              <w:t xml:space="preserve">Conversion</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b/>
                <w:color w:val="000000"/>
                <w:sz w:val="22"/>
              </w:rPr>
              <w:t xml:space="preserve">Subtotal</w:t>
            </w:r>
          </w:p>
        </w:tc>
        <w:tc>
          <w:tcPr>
            <w:vAlign w:val="bottom"/>
          </w:tcPr>
          <w:p>
            <w:pPr>
              <w:spacing w:beforeAutospacing="true" w:afterAutospacing="true"/>
              <w:jc w:val="right"/>
            </w:pPr>
            <w:r>
              <w:rPr>
                <w:rFonts w:ascii="Calibri" w:hAnsi="Calibri"/>
                <w:b/>
                <w:color w:val="000000"/>
                <w:sz w:val="22"/>
              </w:rPr>
              <w:t xml:space="preserve">283,037</w:t>
            </w:r>
          </w:p>
        </w:tc>
        <w:tc>
          <w:tcPr>
            <w:vAlign w:val="bottom"/>
          </w:tcPr>
          <w:p>
            <w:pPr>
              <w:spacing w:beforeAutospacing="true" w:afterAutospacing="true"/>
              <w:jc w:val="right"/>
            </w:pPr>
            <w:r>
              <w:rPr>
                <w:rFonts w:ascii="Calibri" w:hAnsi="Calibri"/>
                <w:b/>
                <w:color w:val="000000"/>
                <w:sz w:val="22"/>
              </w:rPr>
              <w:t xml:space="preserve">29,695</w:t>
            </w:r>
          </w:p>
        </w:tc>
        <w:tc>
          <w:tcPr>
            <w:vAlign w:val="bottom"/>
          </w:tcPr>
          <w:p>
            <w:pPr>
              <w:spacing w:beforeAutospacing="true" w:afterAutospacing="true"/>
              <w:jc w:val="right"/>
            </w:pPr>
            <w:r>
              <w:rPr>
                <w:rFonts w:ascii="Calibri" w:hAnsi="Calibri"/>
                <w:b/>
                <w:color w:val="000000"/>
                <w:sz w:val="22"/>
              </w:rPr>
              <w:t xml:space="preserve">179,935</w:t>
            </w:r>
          </w:p>
        </w:tc>
      </w:tr>
    </w:tbl>
    <w:p>
      <w:pPr>
        <w:pStyle w:val="Caption"/>
        <w:jc w:val="center"/>
        <w:rPr>
          <w:rFonts w:asciiTheme="minorHAnsi" w:hAnsiTheme="minorHAnsi"/>
        </w:rPr>
      </w:pPr>
      <w:r>
        <w:rPr>
          <w:rFonts w:asciiTheme="minorHAnsi" w:hAnsiTheme="minorHAnsi"/>
        </w:rPr>
        <w:t>Table 27 – ESG Expenditures for Emergency Shelter</w:t>
      </w:r>
    </w:p>
    <w:p>
      <w:pPr>
        <w:spacing w:after="0" w:line="240" w:lineRule="auto"/>
        <w:rPr>
          <w:rFonts w:cs="Arial"/>
          <w:sz w:val="20"/>
          <w:szCs w:val="20"/>
        </w:rPr>
      </w:pPr>
    </w:p>
    <w:p>
      <w:pPr>
        <w:rPr>
          <w:rFonts w:cs="Arial"/>
          <w:sz w:val="20"/>
          <w:szCs w:val="20"/>
        </w:rPr>
      </w:pPr>
    </w:p>
    <w:p>
      <w:pPr>
        <w:rPr>
          <w:rFonts w:cs="Arial"/>
          <w:sz w:val="20"/>
          <w:szCs w:val="20"/>
        </w:rPr>
      </w:pPr>
    </w:p>
    <w:p>
      <w:pPr>
        <w:keepNext/>
        <w:rPr>
          <w:b/>
          <w:sz w:val="24"/>
          <w:szCs w:val="24"/>
        </w:rPr>
      </w:pPr>
      <w:r>
        <w:rPr>
          <w:b/>
          <w:sz w:val="24"/>
          <w:szCs w:val="24"/>
        </w:rPr>
        <w:t>11d. Other Grant Expenditures</w:t>
      </w:r>
    </w:p>
    <w:tbl>
      <w:tblPr>
        <w:tblW w:w="5000"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firstRow="1" w:lastRow="1" w:firstColumn="1" w:lastColumn="1" w:noHBand="0" w:noVBand="0" w:val="01E0"/>
      </w:tblPr>
      <w:tblGrid>
        <w:gridCol w:w="4500"/>
        <w:gridCol w:w="1696"/>
        <w:gridCol w:w="1697"/>
        <w:gridCol w:w="1697"/>
      </w:tblGrid>
      <w:tr>
        <w:trPr>
          <w:cantSplit/>
        </w:trPr>
        <w:tc>
          <w:tcPr>
            <w:tcW w:w="4500" w:type="dxa"/>
          </w:tcPr>
          <w:p>
            <w:pPr>
              <w:keepNext/>
              <w:spacing w:after="0" w:line="240" w:lineRule="auto"/>
            </w:pPr>
          </w:p>
        </w:tc>
        <w:tc>
          <w:tcPr>
            <w:tcW w:w="5090" w:type="dxa"/>
            <w:gridSpan w:val="3"/>
          </w:tcPr>
          <w:p>
            <w:pPr>
              <w:keepNext/>
              <w:spacing w:after="0" w:line="240" w:lineRule="auto"/>
              <w:jc w:val="center"/>
            </w:pPr>
            <w:r>
              <w:rPr>
                <w:b/>
              </w:rPr>
              <w:t>Dollar Amount of Expenditures in Program Year</w:t>
            </w:r>
          </w:p>
        </w:tc>
      </w:tr>
      <w:tr>
        <w:trPr>
          <w:cantSplit/>
        </w:trPr>
        <w:tc>
          <w:tcPr>
            <w:tcW w:w="4500" w:type="dxa"/>
          </w:tcPr>
          <w:p>
            <w:pPr>
              <w:keepNext/>
              <w:spacing w:after="0" w:line="240" w:lineRule="auto"/>
            </w:pPr>
          </w:p>
        </w:tc>
        <w:tc>
          <w:tcPr>
            <w:tcW w:w="1696" w:type="dxa"/>
          </w:tcPr>
          <w:p>
            <w:pPr>
              <w:keepNext/>
              <w:spacing w:beforeAutospacing="true" w:afterAutospacing="true"/>
              <w:jc w:val="center"/>
              <w:rPr>
                <w:b/>
              </w:rPr>
            </w:pPr>
            <w:r>
              <w:rPr>
                <w:b/>
              </w:rPr>
              <w:t xml:space="preserve">2017</w:t>
            </w:r>
          </w:p>
        </w:tc>
        <w:tc>
          <w:tcPr>
            <w:tcW w:w="1697" w:type="dxa"/>
          </w:tcPr>
          <w:p>
            <w:pPr>
              <w:keepNext/>
              <w:spacing w:beforeAutospacing="true" w:afterAutospacing="true"/>
              <w:jc w:val="center"/>
              <w:rPr>
                <w:b/>
              </w:rPr>
            </w:pPr>
            <w:r>
              <w:rPr>
                <w:b/>
              </w:rPr>
              <w:t xml:space="preserve">2018</w:t>
            </w:r>
          </w:p>
        </w:tc>
        <w:tc>
          <w:tcPr>
            <w:tcW w:w="1697" w:type="dxa"/>
          </w:tcPr>
          <w:p>
            <w:pPr>
              <w:keepNext/>
              <w:spacing w:beforeAutospacing="true" w:afterAutospacing="true"/>
              <w:jc w:val="center"/>
              <w:rPr>
                <w:b/>
              </w:rPr>
            </w:pPr>
            <w:r>
              <w:rPr>
                <w:b/>
              </w:rPr>
              <w:t xml:space="preserve">2019</w:t>
            </w:r>
          </w:p>
        </w:tc>
      </w:tr>
      <w:tr>
        <w:trPr>
          <w:cantSplit w:val="true"/>
        </w:trPr>
        <w:tc>
          <w:tcPr>
            <w:vAlign w:val="bottom"/>
          </w:tcPr>
          <w:p>
            <w:pPr>
              <w:spacing w:beforeAutospacing="true" w:afterAutospacing="true"/>
              <w:jc w:val="left"/>
            </w:pPr>
            <w:r>
              <w:rPr>
                <w:rFonts w:ascii="Calibri" w:hAnsi="Calibri"/>
                <w:color w:val="000000"/>
                <w:sz w:val="22"/>
              </w:rPr>
              <w:t xml:space="preserve">Street Outreach</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color w:val="000000"/>
                <w:sz w:val="22"/>
              </w:rPr>
              <w:t xml:space="preserve">HMIS</w:t>
            </w:r>
          </w:p>
        </w:tc>
        <w:tc>
          <w:tcPr>
            <w:vAlign w:val="bottom"/>
          </w:tcPr>
          <w:p>
            <w:pPr>
              <w:spacing w:beforeAutospacing="true" w:afterAutospacing="true"/>
              <w:jc w:val="right"/>
            </w:pPr>
            <w:r>
              <w:rPr>
                <w:rFonts w:ascii="Calibri" w:hAnsi="Calibri"/>
                <w:color w:val="000000"/>
                <w:sz w:val="22"/>
              </w:rPr>
              <w:t xml:space="preserve">22,670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color w:val="000000"/>
                <w:sz w:val="22"/>
              </w:rPr>
              <w:t xml:space="preserve">Administration</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26,186</w:t>
            </w:r>
          </w:p>
        </w:tc>
      </w:tr>
    </w:tbl>
    <w:p>
      <w:pPr>
        <w:pStyle w:val="Caption"/>
        <w:jc w:val="center"/>
        <w:rPr>
          <w:rFonts w:asciiTheme="minorHAnsi" w:hAnsiTheme="minorHAnsi"/>
        </w:rPr>
      </w:pPr>
      <w:r>
        <w:rPr>
          <w:rFonts w:asciiTheme="minorHAnsi" w:hAnsiTheme="minorHAnsi"/>
        </w:rPr>
        <w:t>Table 28 - Other Grant Expenditures</w:t>
      </w:r>
    </w:p>
    <w:p>
      <w:pPr>
        <w:spacing w:after="0" w:line="240" w:lineRule="auto"/>
        <w:rPr>
          <w:rFonts w:cs="Arial"/>
          <w:sz w:val="20"/>
          <w:szCs w:val="20"/>
        </w:rPr>
      </w:pPr>
    </w:p>
    <w:p>
      <w:pPr>
        <w:rPr>
          <w:rFonts w:cs="Arial"/>
          <w:sz w:val="20"/>
          <w:szCs w:val="20"/>
        </w:rPr>
      </w:pPr>
    </w:p>
    <w:p>
      <w:pPr>
        <w:rPr>
          <w:b/>
          <w:sz w:val="24"/>
          <w:szCs w:val="24"/>
        </w:rPr>
      </w:pPr>
    </w:p>
    <w:p>
      <w:pPr>
        <w:rPr>
          <w:b/>
          <w:sz w:val="24"/>
          <w:szCs w:val="24"/>
        </w:rPr>
      </w:pPr>
    </w:p>
    <w:p>
      <w:pPr>
        <w:rPr>
          <w:b/>
          <w:sz w:val="24"/>
          <w:szCs w:val="24"/>
        </w:rPr>
      </w:pPr>
    </w:p>
    <w:p>
      <w:pPr>
        <w:rPr>
          <w:b/>
          <w:sz w:val="24"/>
          <w:szCs w:val="24"/>
        </w:rPr>
      </w:pPr>
    </w:p>
    <w:p>
      <w:pPr>
        <w:rPr>
          <w:b/>
          <w:sz w:val="24"/>
          <w:szCs w:val="24"/>
        </w:rPr>
      </w:pPr>
    </w:p>
    <w:p>
      <w:pPr>
        <w:rPr>
          <w:rFonts w:cs="Arial"/>
        </w:rPr>
      </w:pPr>
      <w:r>
        <w:rPr>
          <w:b/>
          <w:sz w:val="24"/>
          <w:szCs w:val="24"/>
        </w:rPr>
        <w:t>11e. Total ESG Grant Funds</w:t>
      </w:r>
    </w:p>
    <w:tbl>
      <w:tblPr>
        <w:tblW w:w="40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firstRow="1" w:lastRow="1" w:firstColumn="1" w:lastColumn="1" w:noHBand="0" w:noVBand="0" w:val="01E0"/>
      </w:tblPr>
      <w:tblGrid>
        <w:gridCol w:w="2701"/>
        <w:gridCol w:w="1696"/>
        <w:gridCol w:w="1697"/>
        <w:gridCol w:w="1697"/>
      </w:tblGrid>
      <w:tr>
        <w:trPr>
          <w:cantSplit/>
          <w:jc w:val="center"/>
        </w:trPr>
        <w:tc>
          <w:tcPr>
            <w:tcW w:w="2701" w:type="dxa"/>
          </w:tcPr>
          <w:p>
            <w:pPr>
              <w:keepNext/>
              <w:spacing w:after="0" w:line="240" w:lineRule="auto"/>
              <w:jc w:val="center"/>
            </w:pPr>
            <w:r>
              <w:rPr>
                <w:b/>
              </w:rPr>
              <w:t>Total ESG Funds Expended</w:t>
            </w:r>
          </w:p>
        </w:tc>
        <w:tc>
          <w:tcPr>
            <w:tcW w:w="1696" w:type="dxa"/>
          </w:tcPr>
          <w:p>
            <w:pPr>
              <w:keepNext/>
              <w:spacing w:beforeAutospacing="true" w:afterAutospacing="true"/>
              <w:jc w:val="center"/>
              <w:rPr>
                <w:b/>
              </w:rPr>
            </w:pPr>
            <w:r>
              <w:rPr>
                <w:b/>
              </w:rPr>
              <w:t xml:space="preserve">2017</w:t>
            </w:r>
          </w:p>
        </w:tc>
        <w:tc>
          <w:tcPr>
            <w:tcW w:w="1697" w:type="dxa"/>
          </w:tcPr>
          <w:p>
            <w:pPr>
              <w:keepNext/>
              <w:spacing w:beforeAutospacing="true" w:afterAutospacing="true"/>
              <w:jc w:val="center"/>
              <w:rPr>
                <w:b/>
              </w:rPr>
            </w:pPr>
            <w:r>
              <w:rPr>
                <w:b/>
              </w:rPr>
              <w:t xml:space="preserve">2018</w:t>
            </w:r>
          </w:p>
        </w:tc>
        <w:tc>
          <w:tcPr>
            <w:tcW w:w="1697" w:type="dxa"/>
          </w:tcPr>
          <w:p>
            <w:pPr>
              <w:keepNext/>
              <w:spacing w:beforeAutospacing="true" w:afterAutospacing="true"/>
              <w:jc w:val="center"/>
              <w:rPr>
                <w:b/>
              </w:rPr>
            </w:pPr>
            <w:r>
              <w:rPr>
                <w:b/>
              </w:rPr>
              <w:t xml:space="preserve">2019</w:t>
            </w:r>
          </w:p>
        </w:tc>
      </w:tr>
      <w:tr>
        <w:trPr>
          <w:cantSplit w:val="true"/>
        </w:trPr>
        <w:tc>
          <w:tcPr>
            <w:vAlign w:val="bottom"/>
          </w:tcPr>
          <w:p>
            <w:pPr>
              <w:spacing w:beforeAutospacing="true" w:afterAutospacing="true"/>
              <w:jc w:val="right"/>
            </w:pPr>
            <w:r>
              <w:rPr>
                <w:rFonts w:ascii="Calibri" w:hAnsi="Calibri"/>
                <w:color w:val="ffffff"/>
                <w:sz w:val="22"/>
              </w:rPr>
              <w:t xml:space="preserve">1,132,185</w:t>
            </w:r>
          </w:p>
        </w:tc>
        <w:tc>
          <w:tcPr>
            <w:vAlign w:val="bottom"/>
          </w:tcPr>
          <w:p>
            <w:pPr>
              <w:spacing w:beforeAutospacing="true" w:afterAutospacing="true"/>
              <w:jc w:val="right"/>
            </w:pPr>
            <w:r>
              <w:rPr>
                <w:rFonts w:ascii="Calibri" w:hAnsi="Calibri"/>
                <w:color w:val="000000"/>
                <w:sz w:val="22"/>
              </w:rPr>
              <w:t xml:space="preserve">585,303</w:t>
            </w:r>
          </w:p>
        </w:tc>
        <w:tc>
          <w:tcPr>
            <w:vAlign w:val="bottom"/>
          </w:tcPr>
          <w:p>
            <w:pPr>
              <w:spacing w:beforeAutospacing="true" w:afterAutospacing="true"/>
              <w:jc w:val="right"/>
            </w:pPr>
            <w:r>
              <w:rPr>
                <w:rFonts w:ascii="Calibri" w:hAnsi="Calibri"/>
                <w:color w:val="000000"/>
                <w:sz w:val="22"/>
              </w:rPr>
              <w:t xml:space="preserve">113,451</w:t>
            </w:r>
          </w:p>
        </w:tc>
        <w:tc>
          <w:tcPr>
            <w:vAlign w:val="bottom"/>
          </w:tcPr>
          <w:p>
            <w:pPr>
              <w:spacing w:beforeAutospacing="true" w:afterAutospacing="true"/>
              <w:jc w:val="right"/>
            </w:pPr>
            <w:r>
              <w:rPr>
                <w:rFonts w:ascii="Calibri" w:hAnsi="Calibri"/>
                <w:color w:val="000000"/>
                <w:sz w:val="22"/>
              </w:rPr>
              <w:t xml:space="preserve">433,431</w:t>
            </w:r>
          </w:p>
        </w:tc>
      </w:tr>
    </w:tbl>
    <w:p>
      <w:pPr>
        <w:pStyle w:val="Caption"/>
        <w:jc w:val="center"/>
        <w:rPr>
          <w:rFonts w:asciiTheme="minorHAnsi" w:hAnsiTheme="minorHAnsi"/>
        </w:rPr>
      </w:pPr>
      <w:r>
        <w:rPr>
          <w:rFonts w:asciiTheme="minorHAnsi" w:hAnsiTheme="minorHAnsi"/>
        </w:rPr>
        <w:t>Table 29 - Total ESG Funds Expended</w:t>
      </w:r>
    </w:p>
    <w:p>
      <w:pPr>
        <w:spacing w:after="0" w:line="240" w:lineRule="auto"/>
        <w:rPr>
          <w:rFonts w:cs="Arial"/>
          <w:sz w:val="20"/>
          <w:szCs w:val="20"/>
        </w:rPr>
      </w:pPr>
    </w:p>
    <w:p>
      <w:pPr>
        <w:rPr>
          <w:rFonts w:cs="Arial"/>
          <w:sz w:val="20"/>
          <w:szCs w:val="20"/>
        </w:rPr>
      </w:pPr>
    </w:p>
    <w:p>
      <w:pPr>
        <w:keepNext/>
        <w:rPr>
          <w:b/>
          <w:sz w:val="24"/>
          <w:szCs w:val="24"/>
        </w:rPr>
      </w:pPr>
      <w:r>
        <w:rPr>
          <w:b/>
          <w:sz w:val="24"/>
          <w:szCs w:val="24"/>
        </w:rPr>
        <w:t>11f. Match Source</w:t>
      </w:r>
    </w:p>
    <w:tbl>
      <w:tblPr>
        <w:tblW w:w="5000"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firstRow="1" w:lastRow="1" w:firstColumn="1" w:lastColumn="1" w:noHBand="0" w:noVBand="0" w:val="01E0"/>
      </w:tblPr>
      <w:tblGrid>
        <w:gridCol w:w="4500"/>
        <w:gridCol w:w="1696"/>
        <w:gridCol w:w="1697"/>
        <w:gridCol w:w="1697"/>
      </w:tblGrid>
      <w:tr>
        <w:trPr>
          <w:cantSplit/>
        </w:trPr>
        <w:tc>
          <w:tcPr>
            <w:tcW w:w="4500" w:type="dxa"/>
          </w:tcPr>
          <w:p>
            <w:pPr>
              <w:keepNext/>
              <w:spacing w:after="0" w:line="240" w:lineRule="auto"/>
            </w:pPr>
          </w:p>
        </w:tc>
        <w:tc>
          <w:tcPr>
            <w:tcW w:w="1696" w:type="dxa"/>
          </w:tcPr>
          <w:p>
            <w:pPr>
              <w:keepNext/>
              <w:spacing w:beforeAutospacing="true" w:afterAutospacing="true"/>
              <w:jc w:val="center"/>
              <w:rPr>
                <w:b/>
              </w:rPr>
            </w:pPr>
            <w:r>
              <w:rPr>
                <w:b/>
              </w:rPr>
              <w:t xml:space="preserve">2017</w:t>
            </w:r>
          </w:p>
        </w:tc>
        <w:tc>
          <w:tcPr>
            <w:tcW w:w="1697" w:type="dxa"/>
          </w:tcPr>
          <w:p>
            <w:pPr>
              <w:keepNext/>
              <w:spacing w:beforeAutospacing="true" w:afterAutospacing="true"/>
              <w:jc w:val="center"/>
              <w:rPr>
                <w:b/>
              </w:rPr>
            </w:pPr>
            <w:r>
              <w:rPr>
                <w:b/>
              </w:rPr>
              <w:t xml:space="preserve">2018</w:t>
            </w:r>
          </w:p>
        </w:tc>
        <w:tc>
          <w:tcPr>
            <w:tcW w:w="1697" w:type="dxa"/>
          </w:tcPr>
          <w:p>
            <w:pPr>
              <w:keepNext/>
              <w:spacing w:beforeAutospacing="true" w:afterAutospacing="true"/>
              <w:jc w:val="center"/>
              <w:rPr>
                <w:b/>
              </w:rPr>
            </w:pPr>
            <w:r>
              <w:rPr>
                <w:b/>
              </w:rPr>
              <w:t xml:space="preserve">2019</w:t>
            </w:r>
          </w:p>
        </w:tc>
      </w:tr>
      <w:tr>
        <w:trPr>
          <w:cantSplit w:val="true"/>
        </w:trPr>
        <w:tc>
          <w:tcPr>
            <w:vAlign w:val="bottom"/>
          </w:tcPr>
          <w:p>
            <w:pPr>
              <w:spacing w:beforeAutospacing="true" w:afterAutospacing="true"/>
              <w:jc w:val="left"/>
            </w:pPr>
            <w:r>
              <w:rPr>
                <w:rFonts w:ascii="Calibri" w:hAnsi="Calibri"/>
                <w:color w:val="000000"/>
                <w:sz w:val="22"/>
              </w:rPr>
              <w:t xml:space="preserve">Other Non-ESG HUD Funds</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color w:val="000000"/>
                <w:sz w:val="22"/>
              </w:rPr>
              <w:t xml:space="preserve">Other Federal Funds</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color w:val="000000"/>
                <w:sz w:val="22"/>
              </w:rPr>
              <w:t xml:space="preserve">State Government</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color w:val="000000"/>
                <w:sz w:val="22"/>
              </w:rPr>
              <w:t xml:space="preserve">Local Government</w:t>
            </w:r>
          </w:p>
        </w:tc>
        <w:tc>
          <w:tcPr>
            <w:vAlign w:val="bottom"/>
          </w:tcPr>
          <w:p>
            <w:pPr>
              <w:spacing w:beforeAutospacing="true" w:afterAutospacing="true"/>
              <w:jc w:val="right"/>
            </w:pPr>
            <w:r>
              <w:rPr>
                <w:rFonts w:ascii="Calibri" w:hAnsi="Calibri"/>
                <w:color w:val="000000"/>
                <w:sz w:val="22"/>
              </w:rPr>
              <w:t xml:space="preserve">2,872,304</w:t>
            </w:r>
          </w:p>
        </w:tc>
        <w:tc>
          <w:tcPr>
            <w:vAlign w:val="bottom"/>
          </w:tcPr>
          <w:p>
            <w:pPr>
              <w:spacing w:beforeAutospacing="true" w:afterAutospacing="true"/>
              <w:jc w:val="right"/>
            </w:pPr>
            <w:r>
              <w:rPr>
                <w:rFonts w:ascii="Calibri" w:hAnsi="Calibri"/>
                <w:color w:val="000000"/>
                <w:sz w:val="22"/>
              </w:rPr>
              <w:t xml:space="preserve">2,847,258</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color w:val="000000"/>
                <w:sz w:val="22"/>
              </w:rPr>
              <w:t xml:space="preserve">Private Funds</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color w:val="000000"/>
                <w:sz w:val="22"/>
              </w:rPr>
              <w:t xml:space="preserve">Other</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color w:val="000000"/>
                <w:sz w:val="22"/>
              </w:rPr>
              <w:t xml:space="preserve">Fees</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color w:val="000000"/>
                <w:sz w:val="22"/>
              </w:rPr>
              <w:t xml:space="preserve">Program Income</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b/>
                <w:color w:val="000000"/>
                <w:sz w:val="22"/>
              </w:rPr>
              <w:t xml:space="preserve">Total Match Amount</w:t>
            </w:r>
          </w:p>
        </w:tc>
        <w:tc>
          <w:tcPr>
            <w:vAlign w:val="bottom"/>
          </w:tcPr>
          <w:p>
            <w:pPr>
              <w:spacing w:beforeAutospacing="true" w:afterAutospacing="true"/>
              <w:jc w:val="right"/>
            </w:pPr>
            <w:r>
              <w:rPr>
                <w:rFonts w:ascii="Calibri" w:hAnsi="Calibri"/>
                <w:b/>
                <w:color w:val="000000"/>
                <w:sz w:val="22"/>
              </w:rPr>
              <w:t xml:space="preserve">2,872,304</w:t>
            </w:r>
          </w:p>
        </w:tc>
        <w:tc>
          <w:tcPr>
            <w:vAlign w:val="bottom"/>
          </w:tcPr>
          <w:p>
            <w:pPr>
              <w:spacing w:beforeAutospacing="true" w:afterAutospacing="true"/>
              <w:jc w:val="right"/>
            </w:pPr>
            <w:r>
              <w:rPr>
                <w:rFonts w:ascii="Calibri" w:hAnsi="Calibri"/>
                <w:b/>
                <w:color w:val="000000"/>
                <w:sz w:val="22"/>
              </w:rPr>
              <w:t xml:space="preserve">2,847,258</w:t>
            </w:r>
          </w:p>
        </w:tc>
        <w:tc>
          <w:tcPr>
            <w:vAlign w:val="bottom"/>
          </w:tcPr>
          <w:p>
            <w:pPr>
              <w:spacing w:beforeAutospacing="true" w:afterAutospacing="true"/>
              <w:jc w:val="right"/>
            </w:pPr>
            <w:r>
              <w:rPr>
                <w:rFonts w:ascii="Calibri" w:hAnsi="Calibri"/>
                <w:b/>
                <w:color w:val="000000"/>
                <w:sz w:val="22"/>
              </w:rPr>
              <w:t xml:space="preserve">0</w:t>
            </w:r>
          </w:p>
        </w:tc>
      </w:tr>
    </w:tbl>
    <w:p>
      <w:pPr>
        <w:pStyle w:val="Caption"/>
        <w:jc w:val="center"/>
        <w:rPr>
          <w:rFonts w:asciiTheme="minorHAnsi" w:hAnsiTheme="minorHAnsi"/>
        </w:rPr>
      </w:pPr>
      <w:r>
        <w:rPr>
          <w:rFonts w:asciiTheme="minorHAnsi" w:hAnsiTheme="minorHAnsi"/>
        </w:rPr>
        <w:t>Table 30 - Other Funds Expended on Eligible ESG Activities</w:t>
      </w:r>
    </w:p>
    <w:p>
      <w:pPr>
        <w:spacing w:after="0" w:line="240" w:lineRule="auto"/>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rFonts w:cs="Arial"/>
        </w:rPr>
      </w:pPr>
      <w:r>
        <w:rPr>
          <w:b/>
          <w:sz w:val="24"/>
          <w:szCs w:val="24"/>
        </w:rPr>
        <w:t>11g. Total</w:t>
      </w:r>
    </w:p>
    <w:tbl>
      <w:tblPr>
        <w:tblW w:w="40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firstRow="1" w:lastRow="1" w:firstColumn="1" w:lastColumn="1" w:noHBand="0" w:noVBand="0" w:val="01E0"/>
      </w:tblPr>
      <w:tblGrid>
        <w:gridCol w:w="2701"/>
        <w:gridCol w:w="1696"/>
        <w:gridCol w:w="1697"/>
        <w:gridCol w:w="1697"/>
      </w:tblGrid>
      <w:tr>
        <w:trPr>
          <w:cantSplit/>
          <w:jc w:val="center"/>
        </w:trPr>
        <w:tc>
          <w:tcPr>
            <w:tcW w:w="2701" w:type="dxa"/>
          </w:tcPr>
          <w:p>
            <w:pPr>
              <w:keepNext/>
              <w:spacing w:after="0" w:line="240" w:lineRule="auto"/>
              <w:jc w:val="center"/>
            </w:pPr>
            <w:r>
              <w:rPr>
                <w:b/>
              </w:rPr>
              <w:t>Total Amount of Funds Expended on ESG Activities</w:t>
            </w:r>
          </w:p>
        </w:tc>
        <w:tc>
          <w:tcPr>
            <w:tcW w:w="1696" w:type="dxa"/>
          </w:tcPr>
          <w:p>
            <w:pPr>
              <w:keepNext/>
              <w:spacing w:beforeAutospacing="true" w:afterAutospacing="true"/>
              <w:jc w:val="center"/>
              <w:rPr>
                <w:b/>
              </w:rPr>
            </w:pPr>
            <w:r>
              <w:rPr>
                <w:b/>
              </w:rPr>
              <w:t xml:space="preserve">2017</w:t>
            </w:r>
          </w:p>
        </w:tc>
        <w:tc>
          <w:tcPr>
            <w:tcW w:w="1697" w:type="dxa"/>
          </w:tcPr>
          <w:p>
            <w:pPr>
              <w:keepNext/>
              <w:spacing w:beforeAutospacing="true" w:afterAutospacing="true"/>
              <w:jc w:val="center"/>
              <w:rPr>
                <w:b/>
              </w:rPr>
            </w:pPr>
            <w:r>
              <w:rPr>
                <w:b/>
              </w:rPr>
              <w:t xml:space="preserve">2018</w:t>
            </w:r>
          </w:p>
        </w:tc>
        <w:tc>
          <w:tcPr>
            <w:tcW w:w="1697" w:type="dxa"/>
          </w:tcPr>
          <w:p>
            <w:pPr>
              <w:keepNext/>
              <w:spacing w:beforeAutospacing="true" w:afterAutospacing="true"/>
              <w:jc w:val="center"/>
              <w:rPr>
                <w:b/>
              </w:rPr>
            </w:pPr>
            <w:r>
              <w:rPr>
                <w:b/>
              </w:rPr>
              <w:t xml:space="preserve">2019</w:t>
            </w:r>
          </w:p>
        </w:tc>
      </w:tr>
      <w:tr>
        <w:trPr>
          <w:cantSplit w:val="true"/>
        </w:trPr>
        <w:tc>
          <w:tcPr>
            <w:vAlign w:val="bottom"/>
          </w:tcPr>
          <w:p>
            <w:pPr>
              <w:spacing w:beforeAutospacing="true" w:afterAutospacing="true"/>
              <w:jc w:val="right"/>
            </w:pPr>
            <w:r>
              <w:rPr>
                <w:rFonts w:ascii="Calibri" w:hAnsi="Calibri"/>
                <w:color w:val="ffffff"/>
                <w:sz w:val="22"/>
              </w:rPr>
              <w:t xml:space="preserve">6,851,747</w:t>
            </w:r>
          </w:p>
        </w:tc>
        <w:tc>
          <w:tcPr>
            <w:vAlign w:val="bottom"/>
          </w:tcPr>
          <w:p>
            <w:pPr>
              <w:spacing w:beforeAutospacing="true" w:afterAutospacing="true"/>
              <w:jc w:val="right"/>
            </w:pPr>
            <w:r>
              <w:rPr>
                <w:rFonts w:ascii="Calibri" w:hAnsi="Calibri"/>
                <w:color w:val="000000"/>
                <w:sz w:val="22"/>
              </w:rPr>
              <w:t xml:space="preserve">3,457,607</w:t>
            </w:r>
          </w:p>
        </w:tc>
        <w:tc>
          <w:tcPr>
            <w:vAlign w:val="bottom"/>
          </w:tcPr>
          <w:p>
            <w:pPr>
              <w:spacing w:beforeAutospacing="true" w:afterAutospacing="true"/>
              <w:jc w:val="right"/>
            </w:pPr>
            <w:r>
              <w:rPr>
                <w:rFonts w:ascii="Calibri" w:hAnsi="Calibri"/>
                <w:color w:val="000000"/>
                <w:sz w:val="22"/>
              </w:rPr>
              <w:t xml:space="preserve">2,960,709</w:t>
            </w:r>
          </w:p>
        </w:tc>
        <w:tc>
          <w:tcPr>
            <w:vAlign w:val="bottom"/>
          </w:tcPr>
          <w:p>
            <w:pPr>
              <w:spacing w:beforeAutospacing="true" w:afterAutospacing="true"/>
              <w:jc w:val="right"/>
            </w:pPr>
            <w:r>
              <w:rPr>
                <w:rFonts w:ascii="Calibri" w:hAnsi="Calibri"/>
                <w:color w:val="000000"/>
                <w:sz w:val="22"/>
              </w:rPr>
              <w:t xml:space="preserve">433,431</w:t>
            </w:r>
          </w:p>
        </w:tc>
      </w:tr>
    </w:tbl>
    <w:p>
      <w:pPr>
        <w:pStyle w:val="Caption"/>
        <w:jc w:val="center"/>
        <w:rPr>
          <w:rFonts w:asciiTheme="minorHAnsi" w:hAnsiTheme="minorHAnsi"/>
        </w:rPr>
      </w:pPr>
      <w:r>
        <w:rPr>
          <w:rFonts w:asciiTheme="minorHAnsi" w:hAnsiTheme="minorHAnsi"/>
        </w:rPr>
        <w:t>Table 31 - Total Amount of Funds Expended on ESG Activities</w:t>
      </w:r>
    </w:p>
    <w:p>
      <w:pPr>
        <w:spacing w:after="0" w:line="240" w:lineRule="auto"/>
      </w:pPr>
    </w:p>
    <w:p/>
    <w:p/>
    <w:p>
      <w:r>
        <w:br w:type="page"/>
      </w:r>
    </w:p>
    <w:p>
      <w:r>
        <w:rPr>
          <w:b/>
          <w:sz w:val="36"/>
          <w:szCs w:val="36"/>
        </w:rPr>
        <w:t>Attachment</w:t>
      </w:r>
    </w:p>
    <w:p>
      <w:r>
        <w:br w:type="page"/>
      </w:r>
    </w:p>
    <w:p>
      <w:r>
        <w:rPr>
          <w:b/>
          <w:sz w:val="36"/>
          <w:szCs w:val="36"/>
        </w:rPr>
        <w:t>Required Certification for Federal Awards</w:t>
      </w:r>
    </w:p>
    <w:p>
      <w:r>
        <w:drawing>
          <wp:inline distT="0" distB="0" distL="0" distR="0">
            <wp:extent cx="5943600" cy="7691718"/>
            <wp:effectExtent l="0" t="0" r="0" b="0"/>
            <wp:docPr id="0" name="Hint" descr="Alt text"/>
            <wp:cNvGraphicFramePr>
              <a:graphicFrameLocks noChangeAspect="true"/>
            </wp:cNvGraphicFramePr>
            <a:graphic>
              <a:graphicData uri="http://schemas.openxmlformats.org/drawingml/2006/picture">
                <pic:pic>
                  <pic:nvPicPr>
                    <pic:cNvPr id="1" name="Hint"/>
                    <pic:cNvPicPr/>
                  </pic:nvPicPr>
                  <pic:blipFill>
                    <a:blip r:embed="rId12"/>
                    <a:stretch>
                      <a:fillRect/>
                    </a:stretch>
                  </pic:blipFill>
                  <pic:spPr>
                    <a:xfrm>
                      <a:off x="0" y="0"/>
                      <a:ext cx="5943600" cy="7691718"/>
                    </a:xfrm>
                    <a:prstGeom prst="rect">
                      <a:avLst/>
                    </a:prstGeom>
                  </pic:spPr>
                </pic:pic>
              </a:graphicData>
            </a:graphic>
          </wp:inline>
        </w:drawing>
      </w:r>
    </w:p>
    <w:p>
      <w:r>
        <w:br w:type="page"/>
      </w:r>
    </w:p>
    <w:p>
      <w:r>
        <w:br w:type="page"/>
      </w:r>
    </w:p>
    <w:p>
      <w:r>
        <w:rPr>
          <w:b/>
          <w:sz w:val="36"/>
          <w:szCs w:val="36"/>
        </w:rPr>
        <w:t>HOPWA PERFORMANCE</w:t>
      </w:r>
    </w:p>
    <w:p>
      <w:r>
        <w:drawing>
          <wp:inline distT="0" distB="0" distL="0" distR="0">
            <wp:extent cx="5943600" cy="7691718"/>
            <wp:effectExtent l="0" t="0" r="0" b="0"/>
            <wp:docPr id="0" name="Hint" descr="Alt text"/>
            <wp:cNvGraphicFramePr>
              <a:graphicFrameLocks noChangeAspect="true"/>
            </wp:cNvGraphicFramePr>
            <a:graphic>
              <a:graphicData uri="http://schemas.openxmlformats.org/drawingml/2006/picture">
                <pic:pic>
                  <pic:nvPicPr>
                    <pic:cNvPr id="1" name="Hint"/>
                    <pic:cNvPicPr/>
                  </pic:nvPicPr>
                  <pic:blipFill>
                    <a:blip r:embed="rId11"/>
                    <a:stretch>
                      <a:fillRect/>
                    </a:stretch>
                  </pic:blipFill>
                  <pic:spPr>
                    <a:xfrm>
                      <a:off x="0" y="0"/>
                      <a:ext cx="5943600" cy="7691718"/>
                    </a:xfrm>
                    <a:prstGeom prst="rect">
                      <a:avLst/>
                    </a:prstGeom>
                  </pic:spPr>
                </pic:pic>
              </a:graphicData>
            </a:graphic>
          </wp:inline>
        </w:drawing>
      </w:r>
    </w:p>
    <w:sectPr>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tbl>
    <w:tblPr>
      <w:tblW w:w="0" w:type="auto"/>
      <w:jc w:val="center"/>
      <w:tblLayout w:type="fixed"/>
      <w:tblLook w:firstRow="1" w:lastRow="1" w:firstColumn="1" w:lastColumn="1" w:noHBand="0" w:noVBand="0" w:val="01E0"/>
    </w:tblPr>
    <w:tblGrid>
      <w:gridCol w:w="828"/>
      <w:gridCol w:w="7976"/>
      <w:gridCol w:w="772"/>
    </w:tblGrid>
    <w:tr>
      <w:trPr>
        <w:jc w:val="center"/>
      </w:trPr>
      <w:tc>
        <w:tcPr>
          <w:tcW w:w="828" w:type="dxa"/>
        </w:tcPr>
        <w:p>
          <w:pPr>
            <w:pStyle w:val="Footer"/>
            <w:spacing w:after="0" w:line="240" w:lineRule="auto"/>
            <w:jc w:val="center"/>
          </w:pPr>
        </w:p>
      </w:tc>
      <w:tc>
        <w:tcPr>
          <w:tcW w:w="7976" w:type="dxa"/>
        </w:tcPr>
        <w:p>
          <w:pPr>
            <w:pStyle w:val="Footer"/>
            <w:spacing w:after="0" w:line="240" w:lineRule="auto"/>
            <w:jc w:val="center"/>
          </w:pPr>
          <w:r>
            <w:t>CAPER</w:t>
          </w:r>
        </w:p>
      </w:tc>
      <w:tc>
        <w:tcPr>
          <w:tcW w:w="772" w:type="dxa"/>
        </w:tcPr>
        <w:p>
          <w:pPr>
            <w:pStyle w:val="Footer"/>
            <w:spacing w:after="0" w:line="240" w:lineRule="auto"/>
            <w:jc w:val="right"/>
          </w:pPr>
          <w:r>
            <w:fldChar w:fldCharType="begin"/>
            <w:instrText>page</w:instrText>
            <w:fldChar w:fldCharType="separate"/>
            <w:t>1</w:t>
            <w:fldChar w:fldCharType="end"/>
          </w:r>
        </w:p>
      </w:tc>
    </w:tr>
  </w:tbl>
  <w:p>
    <w:pPr>
      <w:pStyle w:val="Footer"/>
      <w:spacing w:before="120" w:after="0"/>
      <w:rPr>
        <w:rFonts w:asciiTheme="minorHAnsi" w:hAnsiTheme="minorHAnsi"/>
        <w:b/>
        <w:i/>
        <w:sz w:val="16"/>
      </w:rPr>
    </w:pPr>
    <w:r>
      <w:rPr>
        <w:rFonts w:cs="Arial" w:asciiTheme="minorHAnsi" w:hAnsiTheme="minorHAnsi"/>
        <w:color w:val="000000"/>
        <w:sz w:val="16"/>
      </w:rPr>
      <w:t>OMB Control No: 2506-0117 (exp. 09/30/2021)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3108E9C"/>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A3848782"/>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111CDC50"/>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6CECF734"/>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A8B8103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ECD4C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06E98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ACAE8C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3EC821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67F0FC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2A6DC6"/>
    <w:multiLevelType w:val="hybridMultilevel"/>
    <w:tmpl w:val="203CEBDC"/>
    <w:lvl w:ilvl="0" w:tplc="04090013">
      <w:start w:val="1"/>
      <w:numFmt w:val="upperRoman"/>
      <w:lvlText w:val="%1."/>
      <w:lvlJc w:val="right"/>
      <w:pPr>
        <w:tabs>
          <w:tab w:val="num" w:pos="720"/>
        </w:tabs>
        <w:ind w:left="720" w:hanging="18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045B42A3"/>
    <w:multiLevelType w:val="hybridMultilevel"/>
    <w:tmpl w:val="FA82EE94"/>
    <w:lvl w:ilvl="0" w:tplc="04090013">
      <w:start w:val="1"/>
      <w:numFmt w:val="upp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519A3E8F"/>
    <w:multiLevelType w:val="hybridMultilevel"/>
    <w:tmpl w:val="77020142"/>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58CE2ACE"/>
    <w:multiLevelType w:val="hybridMultilevel"/>
    <w:tmpl w:val="D780CAE8"/>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6D5C4484"/>
    <w:multiLevelType w:val="hybridMultilevel"/>
    <w:tmpl w:val="65061610"/>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5" w15:restartNumberingAfterBreak="0">
    <w:nsid w:val="7CAD51AB"/>
    <w:multiLevelType w:val="hybridMultilevel"/>
    <w:tmpl w:val="242AB0BC"/>
    <w:lvl w:ilvl="0" w:tplc="0409000F">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15"/>
  </w:num>
  <w:num w:numId="14">
    <w:abstractNumId w:val="13"/>
  </w:num>
  <w:num w:numId="15">
    <w:abstractNumId w:val="12"/>
  </w:num>
  <w:num w:numId="16">
    <w:abstractNumId w:val="14"/>
  </w:num>
</w:numbering>
</file>

<file path=word/settings.xml><?xml version="1.0" encoding="utf-8"?>
<w:settings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view w:val="print"/>
  <w:zoom w:percent="100"/>
  <w:hideSpellingErrors/>
  <w:hideGrammaticalErrors/>
  <w:documentProtection w:edit="readOnly" w:enforcement="true" w:cryptProviderType="rsaFull" w:cryptAlgorithmClass="hash" w:cryptAlgorithmType="typeAny" w:cryptAlgorithmSid="4" w:cryptSpinCount="100000" w:hash="OW9ON25Xa0NBeUVaaWIxUm9tU0pUam1QcENZPQ==" w:salt="WlVkSGErRDhGL09BS1AzSTdzc1VuUT09"/>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550"/>
    <w:rsid w:val="00000EC6"/>
    <w:rsid w:val="00001671"/>
    <w:rsid w:val="0000299C"/>
    <w:rsid w:val="000035A3"/>
    <w:rsid w:val="00003E3A"/>
    <w:rsid w:val="00004F01"/>
    <w:rsid w:val="000055F1"/>
    <w:rsid w:val="00006999"/>
    <w:rsid w:val="00007A74"/>
    <w:rsid w:val="000101FE"/>
    <w:rsid w:val="000109A7"/>
    <w:rsid w:val="000116B2"/>
    <w:rsid w:val="00012E9D"/>
    <w:rsid w:val="00013481"/>
    <w:rsid w:val="000146AF"/>
    <w:rsid w:val="00014B5F"/>
    <w:rsid w:val="0001643E"/>
    <w:rsid w:val="0001694F"/>
    <w:rsid w:val="00017C8C"/>
    <w:rsid w:val="000202EB"/>
    <w:rsid w:val="000204C7"/>
    <w:rsid w:val="00022CF5"/>
    <w:rsid w:val="000237FC"/>
    <w:rsid w:val="000250A9"/>
    <w:rsid w:val="0002592E"/>
    <w:rsid w:val="00025951"/>
    <w:rsid w:val="00025DEC"/>
    <w:rsid w:val="00026149"/>
    <w:rsid w:val="00027899"/>
    <w:rsid w:val="00027FD4"/>
    <w:rsid w:val="00030C85"/>
    <w:rsid w:val="00031960"/>
    <w:rsid w:val="00032C1E"/>
    <w:rsid w:val="0003300B"/>
    <w:rsid w:val="0003316E"/>
    <w:rsid w:val="00033A35"/>
    <w:rsid w:val="0003459B"/>
    <w:rsid w:val="00035628"/>
    <w:rsid w:val="000357CA"/>
    <w:rsid w:val="00035F04"/>
    <w:rsid w:val="000365DA"/>
    <w:rsid w:val="00040E81"/>
    <w:rsid w:val="0004164B"/>
    <w:rsid w:val="00042C4D"/>
    <w:rsid w:val="0004355B"/>
    <w:rsid w:val="00043B67"/>
    <w:rsid w:val="00044565"/>
    <w:rsid w:val="00044EC9"/>
    <w:rsid w:val="00047DD2"/>
    <w:rsid w:val="00047E3E"/>
    <w:rsid w:val="0005057C"/>
    <w:rsid w:val="000518AA"/>
    <w:rsid w:val="00052543"/>
    <w:rsid w:val="0005399B"/>
    <w:rsid w:val="00053D85"/>
    <w:rsid w:val="00053E62"/>
    <w:rsid w:val="00054780"/>
    <w:rsid w:val="000549C7"/>
    <w:rsid w:val="00054D96"/>
    <w:rsid w:val="00056828"/>
    <w:rsid w:val="00057E29"/>
    <w:rsid w:val="00060CE4"/>
    <w:rsid w:val="00061845"/>
    <w:rsid w:val="00061B37"/>
    <w:rsid w:val="00061E41"/>
    <w:rsid w:val="000620FD"/>
    <w:rsid w:val="000623F4"/>
    <w:rsid w:val="00063F1C"/>
    <w:rsid w:val="00065D4E"/>
    <w:rsid w:val="000661A8"/>
    <w:rsid w:val="00066237"/>
    <w:rsid w:val="000670CF"/>
    <w:rsid w:val="00067FD4"/>
    <w:rsid w:val="00070633"/>
    <w:rsid w:val="00071C7C"/>
    <w:rsid w:val="00072C8A"/>
    <w:rsid w:val="00072F46"/>
    <w:rsid w:val="000734F6"/>
    <w:rsid w:val="00073E7A"/>
    <w:rsid w:val="00074919"/>
    <w:rsid w:val="00074DEF"/>
    <w:rsid w:val="0007533E"/>
    <w:rsid w:val="00075AB2"/>
    <w:rsid w:val="0007671E"/>
    <w:rsid w:val="00076CF5"/>
    <w:rsid w:val="00076D36"/>
    <w:rsid w:val="00077619"/>
    <w:rsid w:val="00077A7A"/>
    <w:rsid w:val="00077F16"/>
    <w:rsid w:val="00080209"/>
    <w:rsid w:val="0008068E"/>
    <w:rsid w:val="00080943"/>
    <w:rsid w:val="00080ECB"/>
    <w:rsid w:val="00080FA0"/>
    <w:rsid w:val="00081076"/>
    <w:rsid w:val="00081136"/>
    <w:rsid w:val="0008221D"/>
    <w:rsid w:val="0008229D"/>
    <w:rsid w:val="000825DF"/>
    <w:rsid w:val="0008289F"/>
    <w:rsid w:val="000831B8"/>
    <w:rsid w:val="000832B3"/>
    <w:rsid w:val="0008384E"/>
    <w:rsid w:val="00083952"/>
    <w:rsid w:val="00083B49"/>
    <w:rsid w:val="00083BEB"/>
    <w:rsid w:val="00084058"/>
    <w:rsid w:val="0008420F"/>
    <w:rsid w:val="00084385"/>
    <w:rsid w:val="00084E02"/>
    <w:rsid w:val="00085ECE"/>
    <w:rsid w:val="0008764E"/>
    <w:rsid w:val="00087BEC"/>
    <w:rsid w:val="00091139"/>
    <w:rsid w:val="000920F8"/>
    <w:rsid w:val="00092FA7"/>
    <w:rsid w:val="00093600"/>
    <w:rsid w:val="0009415B"/>
    <w:rsid w:val="0009419B"/>
    <w:rsid w:val="00094C65"/>
    <w:rsid w:val="00096632"/>
    <w:rsid w:val="00096BAB"/>
    <w:rsid w:val="00096FE3"/>
    <w:rsid w:val="000975D9"/>
    <w:rsid w:val="00097D73"/>
    <w:rsid w:val="000A22C7"/>
    <w:rsid w:val="000A3328"/>
    <w:rsid w:val="000A3869"/>
    <w:rsid w:val="000A3AF5"/>
    <w:rsid w:val="000A3DED"/>
    <w:rsid w:val="000A49C3"/>
    <w:rsid w:val="000A6604"/>
    <w:rsid w:val="000A7EAA"/>
    <w:rsid w:val="000A7EB6"/>
    <w:rsid w:val="000B0148"/>
    <w:rsid w:val="000B05D4"/>
    <w:rsid w:val="000B0735"/>
    <w:rsid w:val="000B1705"/>
    <w:rsid w:val="000B291F"/>
    <w:rsid w:val="000B3DD8"/>
    <w:rsid w:val="000B45BD"/>
    <w:rsid w:val="000B5D24"/>
    <w:rsid w:val="000B6036"/>
    <w:rsid w:val="000B6192"/>
    <w:rsid w:val="000B6842"/>
    <w:rsid w:val="000B7A3C"/>
    <w:rsid w:val="000C0752"/>
    <w:rsid w:val="000C0905"/>
    <w:rsid w:val="000C0B16"/>
    <w:rsid w:val="000C20FC"/>
    <w:rsid w:val="000C23F6"/>
    <w:rsid w:val="000C265E"/>
    <w:rsid w:val="000C3ACA"/>
    <w:rsid w:val="000C5AF9"/>
    <w:rsid w:val="000C666E"/>
    <w:rsid w:val="000C7403"/>
    <w:rsid w:val="000C74F3"/>
    <w:rsid w:val="000D01E0"/>
    <w:rsid w:val="000D14F6"/>
    <w:rsid w:val="000D1DC9"/>
    <w:rsid w:val="000D422A"/>
    <w:rsid w:val="000D488E"/>
    <w:rsid w:val="000D6A4D"/>
    <w:rsid w:val="000D6CFF"/>
    <w:rsid w:val="000D71A6"/>
    <w:rsid w:val="000D7D16"/>
    <w:rsid w:val="000E0343"/>
    <w:rsid w:val="000E0AAE"/>
    <w:rsid w:val="000E0D5D"/>
    <w:rsid w:val="000E13BA"/>
    <w:rsid w:val="000E1DFB"/>
    <w:rsid w:val="000E1F9B"/>
    <w:rsid w:val="000E2A69"/>
    <w:rsid w:val="000E2C4D"/>
    <w:rsid w:val="000E4A11"/>
    <w:rsid w:val="000E5032"/>
    <w:rsid w:val="000E53D6"/>
    <w:rsid w:val="000E5FBD"/>
    <w:rsid w:val="000E60F9"/>
    <w:rsid w:val="000E6121"/>
    <w:rsid w:val="000E640E"/>
    <w:rsid w:val="000E6B9A"/>
    <w:rsid w:val="000E6CB6"/>
    <w:rsid w:val="000F04AF"/>
    <w:rsid w:val="000F0F15"/>
    <w:rsid w:val="000F1426"/>
    <w:rsid w:val="000F21DE"/>
    <w:rsid w:val="000F503D"/>
    <w:rsid w:val="000F683C"/>
    <w:rsid w:val="000F6B53"/>
    <w:rsid w:val="001000D7"/>
    <w:rsid w:val="00101E3D"/>
    <w:rsid w:val="00102442"/>
    <w:rsid w:val="0010332E"/>
    <w:rsid w:val="00104032"/>
    <w:rsid w:val="0010487A"/>
    <w:rsid w:val="00106CAB"/>
    <w:rsid w:val="0010757C"/>
    <w:rsid w:val="001101BB"/>
    <w:rsid w:val="001105E4"/>
    <w:rsid w:val="00111CFD"/>
    <w:rsid w:val="00111DEA"/>
    <w:rsid w:val="00111F9F"/>
    <w:rsid w:val="001121F8"/>
    <w:rsid w:val="00112F30"/>
    <w:rsid w:val="0011341D"/>
    <w:rsid w:val="0011453E"/>
    <w:rsid w:val="00114CA6"/>
    <w:rsid w:val="00115066"/>
    <w:rsid w:val="00117AB9"/>
    <w:rsid w:val="00117CAF"/>
    <w:rsid w:val="00120904"/>
    <w:rsid w:val="00123B67"/>
    <w:rsid w:val="001244C5"/>
    <w:rsid w:val="00124E85"/>
    <w:rsid w:val="00125428"/>
    <w:rsid w:val="001256B0"/>
    <w:rsid w:val="00125FCA"/>
    <w:rsid w:val="00126022"/>
    <w:rsid w:val="001261A0"/>
    <w:rsid w:val="001274C4"/>
    <w:rsid w:val="00132B0C"/>
    <w:rsid w:val="00132CEA"/>
    <w:rsid w:val="00133EA4"/>
    <w:rsid w:val="00134B79"/>
    <w:rsid w:val="0013545A"/>
    <w:rsid w:val="00135B76"/>
    <w:rsid w:val="00135EA7"/>
    <w:rsid w:val="00136724"/>
    <w:rsid w:val="00137DF0"/>
    <w:rsid w:val="00141F8B"/>
    <w:rsid w:val="001426D3"/>
    <w:rsid w:val="001442FB"/>
    <w:rsid w:val="001452F7"/>
    <w:rsid w:val="0014572F"/>
    <w:rsid w:val="001460FB"/>
    <w:rsid w:val="00146B9A"/>
    <w:rsid w:val="0014790F"/>
    <w:rsid w:val="0015000D"/>
    <w:rsid w:val="00150082"/>
    <w:rsid w:val="001501DB"/>
    <w:rsid w:val="00150A50"/>
    <w:rsid w:val="00150B00"/>
    <w:rsid w:val="00151FDE"/>
    <w:rsid w:val="001539D4"/>
    <w:rsid w:val="0015548F"/>
    <w:rsid w:val="00156045"/>
    <w:rsid w:val="00156205"/>
    <w:rsid w:val="00157867"/>
    <w:rsid w:val="00157D8A"/>
    <w:rsid w:val="00157DD0"/>
    <w:rsid w:val="0016089C"/>
    <w:rsid w:val="00160AC1"/>
    <w:rsid w:val="00162077"/>
    <w:rsid w:val="0016267E"/>
    <w:rsid w:val="00162A99"/>
    <w:rsid w:val="00163BA8"/>
    <w:rsid w:val="00164969"/>
    <w:rsid w:val="001657BA"/>
    <w:rsid w:val="00165B3F"/>
    <w:rsid w:val="00166377"/>
    <w:rsid w:val="00166FC2"/>
    <w:rsid w:val="00167346"/>
    <w:rsid w:val="001703C2"/>
    <w:rsid w:val="001728FD"/>
    <w:rsid w:val="00172A41"/>
    <w:rsid w:val="00172D3C"/>
    <w:rsid w:val="00173660"/>
    <w:rsid w:val="0017391B"/>
    <w:rsid w:val="00173954"/>
    <w:rsid w:val="001748A8"/>
    <w:rsid w:val="00174E22"/>
    <w:rsid w:val="00174F62"/>
    <w:rsid w:val="00175A92"/>
    <w:rsid w:val="00176F2C"/>
    <w:rsid w:val="0017730C"/>
    <w:rsid w:val="00177DEF"/>
    <w:rsid w:val="00180218"/>
    <w:rsid w:val="00180753"/>
    <w:rsid w:val="00181247"/>
    <w:rsid w:val="00181253"/>
    <w:rsid w:val="00182552"/>
    <w:rsid w:val="00182A06"/>
    <w:rsid w:val="00183202"/>
    <w:rsid w:val="0018383F"/>
    <w:rsid w:val="0018415D"/>
    <w:rsid w:val="00184182"/>
    <w:rsid w:val="00184AE8"/>
    <w:rsid w:val="00184B4B"/>
    <w:rsid w:val="00184CFB"/>
    <w:rsid w:val="00184F71"/>
    <w:rsid w:val="00184F89"/>
    <w:rsid w:val="00186776"/>
    <w:rsid w:val="001876CD"/>
    <w:rsid w:val="00190078"/>
    <w:rsid w:val="00190429"/>
    <w:rsid w:val="00192527"/>
    <w:rsid w:val="00192E4D"/>
    <w:rsid w:val="00193AF0"/>
    <w:rsid w:val="0019437E"/>
    <w:rsid w:val="001949B1"/>
    <w:rsid w:val="00194CDA"/>
    <w:rsid w:val="00194DE6"/>
    <w:rsid w:val="001964F3"/>
    <w:rsid w:val="00197A7A"/>
    <w:rsid w:val="00197C72"/>
    <w:rsid w:val="001A0074"/>
    <w:rsid w:val="001A0F7B"/>
    <w:rsid w:val="001A1131"/>
    <w:rsid w:val="001A226D"/>
    <w:rsid w:val="001A44BB"/>
    <w:rsid w:val="001A4F93"/>
    <w:rsid w:val="001A6644"/>
    <w:rsid w:val="001A6F81"/>
    <w:rsid w:val="001A7613"/>
    <w:rsid w:val="001A7F28"/>
    <w:rsid w:val="001B0BA7"/>
    <w:rsid w:val="001B177E"/>
    <w:rsid w:val="001B469C"/>
    <w:rsid w:val="001B5AF8"/>
    <w:rsid w:val="001B64F7"/>
    <w:rsid w:val="001B6520"/>
    <w:rsid w:val="001B6936"/>
    <w:rsid w:val="001B75E2"/>
    <w:rsid w:val="001B7DB9"/>
    <w:rsid w:val="001C1880"/>
    <w:rsid w:val="001C1B65"/>
    <w:rsid w:val="001C2492"/>
    <w:rsid w:val="001C2692"/>
    <w:rsid w:val="001C38E2"/>
    <w:rsid w:val="001C3C19"/>
    <w:rsid w:val="001C3E92"/>
    <w:rsid w:val="001C4867"/>
    <w:rsid w:val="001C4EAB"/>
    <w:rsid w:val="001C516A"/>
    <w:rsid w:val="001C61C3"/>
    <w:rsid w:val="001C696A"/>
    <w:rsid w:val="001C6CFF"/>
    <w:rsid w:val="001C79ED"/>
    <w:rsid w:val="001D0384"/>
    <w:rsid w:val="001D20E3"/>
    <w:rsid w:val="001D285F"/>
    <w:rsid w:val="001D3A7D"/>
    <w:rsid w:val="001D4366"/>
    <w:rsid w:val="001D5457"/>
    <w:rsid w:val="001D68CD"/>
    <w:rsid w:val="001D6AF5"/>
    <w:rsid w:val="001D6ECF"/>
    <w:rsid w:val="001D7832"/>
    <w:rsid w:val="001D78ED"/>
    <w:rsid w:val="001D79E2"/>
    <w:rsid w:val="001E1072"/>
    <w:rsid w:val="001E2322"/>
    <w:rsid w:val="001E325A"/>
    <w:rsid w:val="001E3EA8"/>
    <w:rsid w:val="001E47F6"/>
    <w:rsid w:val="001E4C5B"/>
    <w:rsid w:val="001E4D04"/>
    <w:rsid w:val="001E551F"/>
    <w:rsid w:val="001E61D5"/>
    <w:rsid w:val="001E6312"/>
    <w:rsid w:val="001E6E6E"/>
    <w:rsid w:val="001E763D"/>
    <w:rsid w:val="001E7D42"/>
    <w:rsid w:val="001F0B25"/>
    <w:rsid w:val="001F1BE7"/>
    <w:rsid w:val="001F2FC4"/>
    <w:rsid w:val="001F3C7D"/>
    <w:rsid w:val="001F3CB4"/>
    <w:rsid w:val="001F68DE"/>
    <w:rsid w:val="001F753C"/>
    <w:rsid w:val="002028BF"/>
    <w:rsid w:val="00203C89"/>
    <w:rsid w:val="00204041"/>
    <w:rsid w:val="00204CFE"/>
    <w:rsid w:val="00204E13"/>
    <w:rsid w:val="00205644"/>
    <w:rsid w:val="00205CCE"/>
    <w:rsid w:val="00207A05"/>
    <w:rsid w:val="00210BE4"/>
    <w:rsid w:val="002111DD"/>
    <w:rsid w:val="002116BD"/>
    <w:rsid w:val="00212E96"/>
    <w:rsid w:val="002137A1"/>
    <w:rsid w:val="00214170"/>
    <w:rsid w:val="002150FE"/>
    <w:rsid w:val="00215FFC"/>
    <w:rsid w:val="00216A02"/>
    <w:rsid w:val="00216DD3"/>
    <w:rsid w:val="00217523"/>
    <w:rsid w:val="0021781D"/>
    <w:rsid w:val="00217B66"/>
    <w:rsid w:val="00217EA0"/>
    <w:rsid w:val="00220C8E"/>
    <w:rsid w:val="002211EC"/>
    <w:rsid w:val="00221262"/>
    <w:rsid w:val="00221D81"/>
    <w:rsid w:val="00224031"/>
    <w:rsid w:val="00224741"/>
    <w:rsid w:val="002248BD"/>
    <w:rsid w:val="00224CD2"/>
    <w:rsid w:val="002266F1"/>
    <w:rsid w:val="002267F1"/>
    <w:rsid w:val="00226B59"/>
    <w:rsid w:val="00230EF6"/>
    <w:rsid w:val="002311BD"/>
    <w:rsid w:val="002323D0"/>
    <w:rsid w:val="0023315D"/>
    <w:rsid w:val="00233524"/>
    <w:rsid w:val="00233736"/>
    <w:rsid w:val="00233956"/>
    <w:rsid w:val="002346CD"/>
    <w:rsid w:val="00236F35"/>
    <w:rsid w:val="00236F9D"/>
    <w:rsid w:val="002375B4"/>
    <w:rsid w:val="00240369"/>
    <w:rsid w:val="00240AEF"/>
    <w:rsid w:val="0024397D"/>
    <w:rsid w:val="00243BB2"/>
    <w:rsid w:val="0024409B"/>
    <w:rsid w:val="00244529"/>
    <w:rsid w:val="00244EDB"/>
    <w:rsid w:val="0024534C"/>
    <w:rsid w:val="00245AEC"/>
    <w:rsid w:val="00247E65"/>
    <w:rsid w:val="0025080C"/>
    <w:rsid w:val="0025207C"/>
    <w:rsid w:val="00254774"/>
    <w:rsid w:val="0025577D"/>
    <w:rsid w:val="00255CB4"/>
    <w:rsid w:val="0025607E"/>
    <w:rsid w:val="00256481"/>
    <w:rsid w:val="002564B0"/>
    <w:rsid w:val="00257643"/>
    <w:rsid w:val="00260080"/>
    <w:rsid w:val="00260770"/>
    <w:rsid w:val="00260E1E"/>
    <w:rsid w:val="00260F6E"/>
    <w:rsid w:val="00261EA3"/>
    <w:rsid w:val="00262D53"/>
    <w:rsid w:val="00263CA8"/>
    <w:rsid w:val="002643F3"/>
    <w:rsid w:val="0026448F"/>
    <w:rsid w:val="002660BC"/>
    <w:rsid w:val="00267042"/>
    <w:rsid w:val="00267FE2"/>
    <w:rsid w:val="0027020F"/>
    <w:rsid w:val="002707F7"/>
    <w:rsid w:val="00270B46"/>
    <w:rsid w:val="00270E66"/>
    <w:rsid w:val="002721FA"/>
    <w:rsid w:val="00272758"/>
    <w:rsid w:val="00272E1D"/>
    <w:rsid w:val="00275F5E"/>
    <w:rsid w:val="00276096"/>
    <w:rsid w:val="002764CB"/>
    <w:rsid w:val="0027673E"/>
    <w:rsid w:val="00277A52"/>
    <w:rsid w:val="00277D0B"/>
    <w:rsid w:val="0028052A"/>
    <w:rsid w:val="002805C4"/>
    <w:rsid w:val="00283CA8"/>
    <w:rsid w:val="002845D3"/>
    <w:rsid w:val="002847C0"/>
    <w:rsid w:val="00284AD9"/>
    <w:rsid w:val="00284E5C"/>
    <w:rsid w:val="00285752"/>
    <w:rsid w:val="0028792C"/>
    <w:rsid w:val="002879F1"/>
    <w:rsid w:val="002905D8"/>
    <w:rsid w:val="00290DB9"/>
    <w:rsid w:val="00291155"/>
    <w:rsid w:val="00291F7B"/>
    <w:rsid w:val="00292ECE"/>
    <w:rsid w:val="002940C6"/>
    <w:rsid w:val="00294B1B"/>
    <w:rsid w:val="00294CA9"/>
    <w:rsid w:val="00295998"/>
    <w:rsid w:val="002969C3"/>
    <w:rsid w:val="00297030"/>
    <w:rsid w:val="002A1320"/>
    <w:rsid w:val="002A19C0"/>
    <w:rsid w:val="002A2068"/>
    <w:rsid w:val="002A206F"/>
    <w:rsid w:val="002A2980"/>
    <w:rsid w:val="002A33F3"/>
    <w:rsid w:val="002A4896"/>
    <w:rsid w:val="002A49B8"/>
    <w:rsid w:val="002A4D9A"/>
    <w:rsid w:val="002A4E8C"/>
    <w:rsid w:val="002A5179"/>
    <w:rsid w:val="002A57D8"/>
    <w:rsid w:val="002A5D07"/>
    <w:rsid w:val="002A7146"/>
    <w:rsid w:val="002B260A"/>
    <w:rsid w:val="002B57CF"/>
    <w:rsid w:val="002B67A3"/>
    <w:rsid w:val="002C12CE"/>
    <w:rsid w:val="002C155C"/>
    <w:rsid w:val="002C2FAB"/>
    <w:rsid w:val="002C3395"/>
    <w:rsid w:val="002C4269"/>
    <w:rsid w:val="002C451D"/>
    <w:rsid w:val="002C547E"/>
    <w:rsid w:val="002C55DF"/>
    <w:rsid w:val="002C5F73"/>
    <w:rsid w:val="002C7DA5"/>
    <w:rsid w:val="002D3381"/>
    <w:rsid w:val="002D34A9"/>
    <w:rsid w:val="002D45E4"/>
    <w:rsid w:val="002D478C"/>
    <w:rsid w:val="002D5755"/>
    <w:rsid w:val="002D6121"/>
    <w:rsid w:val="002D71DF"/>
    <w:rsid w:val="002D72DF"/>
    <w:rsid w:val="002E04EA"/>
    <w:rsid w:val="002E0765"/>
    <w:rsid w:val="002E2948"/>
    <w:rsid w:val="002E373E"/>
    <w:rsid w:val="002E5E11"/>
    <w:rsid w:val="002E7287"/>
    <w:rsid w:val="002F00E3"/>
    <w:rsid w:val="002F0A95"/>
    <w:rsid w:val="002F13AD"/>
    <w:rsid w:val="002F1FFB"/>
    <w:rsid w:val="002F24E1"/>
    <w:rsid w:val="002F2A9F"/>
    <w:rsid w:val="002F3E66"/>
    <w:rsid w:val="002F4183"/>
    <w:rsid w:val="002F475D"/>
    <w:rsid w:val="002F5272"/>
    <w:rsid w:val="002F664F"/>
    <w:rsid w:val="002F7A63"/>
    <w:rsid w:val="003003C0"/>
    <w:rsid w:val="0030068B"/>
    <w:rsid w:val="00300855"/>
    <w:rsid w:val="00302737"/>
    <w:rsid w:val="00302A61"/>
    <w:rsid w:val="003045D1"/>
    <w:rsid w:val="003045F6"/>
    <w:rsid w:val="00304D73"/>
    <w:rsid w:val="00305182"/>
    <w:rsid w:val="003056D6"/>
    <w:rsid w:val="0030598B"/>
    <w:rsid w:val="0030672D"/>
    <w:rsid w:val="00306E0A"/>
    <w:rsid w:val="00306F39"/>
    <w:rsid w:val="00307CCF"/>
    <w:rsid w:val="00311270"/>
    <w:rsid w:val="003113E0"/>
    <w:rsid w:val="003118D7"/>
    <w:rsid w:val="00312833"/>
    <w:rsid w:val="00312C1B"/>
    <w:rsid w:val="003138AA"/>
    <w:rsid w:val="00313917"/>
    <w:rsid w:val="00314B0B"/>
    <w:rsid w:val="003156F5"/>
    <w:rsid w:val="00316098"/>
    <w:rsid w:val="00316631"/>
    <w:rsid w:val="00316EE5"/>
    <w:rsid w:val="00320E49"/>
    <w:rsid w:val="003214A9"/>
    <w:rsid w:val="00321A46"/>
    <w:rsid w:val="00322F17"/>
    <w:rsid w:val="0032477D"/>
    <w:rsid w:val="003257E9"/>
    <w:rsid w:val="003262D2"/>
    <w:rsid w:val="00327329"/>
    <w:rsid w:val="00327477"/>
    <w:rsid w:val="00327499"/>
    <w:rsid w:val="00327DDD"/>
    <w:rsid w:val="0033058A"/>
    <w:rsid w:val="0033064E"/>
    <w:rsid w:val="00330AC7"/>
    <w:rsid w:val="003316A0"/>
    <w:rsid w:val="0033187D"/>
    <w:rsid w:val="0033195A"/>
    <w:rsid w:val="00332A82"/>
    <w:rsid w:val="00334122"/>
    <w:rsid w:val="00334913"/>
    <w:rsid w:val="003350EA"/>
    <w:rsid w:val="00335120"/>
    <w:rsid w:val="003371DB"/>
    <w:rsid w:val="00337C8A"/>
    <w:rsid w:val="003404B4"/>
    <w:rsid w:val="0034130D"/>
    <w:rsid w:val="0034133C"/>
    <w:rsid w:val="003416A3"/>
    <w:rsid w:val="00341BA7"/>
    <w:rsid w:val="00342143"/>
    <w:rsid w:val="00342F57"/>
    <w:rsid w:val="00343DFD"/>
    <w:rsid w:val="0034477A"/>
    <w:rsid w:val="00344D4F"/>
    <w:rsid w:val="0034596B"/>
    <w:rsid w:val="00346C40"/>
    <w:rsid w:val="00347C60"/>
    <w:rsid w:val="00350450"/>
    <w:rsid w:val="003504FE"/>
    <w:rsid w:val="00350A6A"/>
    <w:rsid w:val="003518E2"/>
    <w:rsid w:val="00351DF3"/>
    <w:rsid w:val="003521B8"/>
    <w:rsid w:val="00352316"/>
    <w:rsid w:val="00352E8A"/>
    <w:rsid w:val="0035324B"/>
    <w:rsid w:val="003543C9"/>
    <w:rsid w:val="00354514"/>
    <w:rsid w:val="003550DA"/>
    <w:rsid w:val="003558E7"/>
    <w:rsid w:val="00355E11"/>
    <w:rsid w:val="00357C5C"/>
    <w:rsid w:val="00361CC3"/>
    <w:rsid w:val="00362941"/>
    <w:rsid w:val="00362ACB"/>
    <w:rsid w:val="00362BC6"/>
    <w:rsid w:val="00362BEC"/>
    <w:rsid w:val="003636A4"/>
    <w:rsid w:val="00365CE8"/>
    <w:rsid w:val="00367870"/>
    <w:rsid w:val="00370741"/>
    <w:rsid w:val="0037146A"/>
    <w:rsid w:val="0037176A"/>
    <w:rsid w:val="00371907"/>
    <w:rsid w:val="00375479"/>
    <w:rsid w:val="0037664B"/>
    <w:rsid w:val="0037754F"/>
    <w:rsid w:val="00377ACE"/>
    <w:rsid w:val="00380C4B"/>
    <w:rsid w:val="003814EF"/>
    <w:rsid w:val="00382896"/>
    <w:rsid w:val="00383267"/>
    <w:rsid w:val="003837F6"/>
    <w:rsid w:val="00383DA8"/>
    <w:rsid w:val="00384469"/>
    <w:rsid w:val="0038596A"/>
    <w:rsid w:val="003916D4"/>
    <w:rsid w:val="003923B5"/>
    <w:rsid w:val="00392557"/>
    <w:rsid w:val="00392D92"/>
    <w:rsid w:val="00393270"/>
    <w:rsid w:val="0039344B"/>
    <w:rsid w:val="00393D1A"/>
    <w:rsid w:val="00394D6A"/>
    <w:rsid w:val="00394F4A"/>
    <w:rsid w:val="003958CF"/>
    <w:rsid w:val="00396613"/>
    <w:rsid w:val="00396711"/>
    <w:rsid w:val="003A05A0"/>
    <w:rsid w:val="003A05C5"/>
    <w:rsid w:val="003A0B07"/>
    <w:rsid w:val="003A13CA"/>
    <w:rsid w:val="003A17FF"/>
    <w:rsid w:val="003A1AEA"/>
    <w:rsid w:val="003A1F5A"/>
    <w:rsid w:val="003A231A"/>
    <w:rsid w:val="003A29AD"/>
    <w:rsid w:val="003A2CC8"/>
    <w:rsid w:val="003A3022"/>
    <w:rsid w:val="003A3587"/>
    <w:rsid w:val="003A35A7"/>
    <w:rsid w:val="003A3BED"/>
    <w:rsid w:val="003A3DFE"/>
    <w:rsid w:val="003A415B"/>
    <w:rsid w:val="003A4A22"/>
    <w:rsid w:val="003A4B51"/>
    <w:rsid w:val="003A5721"/>
    <w:rsid w:val="003A5AF1"/>
    <w:rsid w:val="003A5B2A"/>
    <w:rsid w:val="003A683D"/>
    <w:rsid w:val="003B2C69"/>
    <w:rsid w:val="003B2D3A"/>
    <w:rsid w:val="003B441D"/>
    <w:rsid w:val="003B47FF"/>
    <w:rsid w:val="003B5B43"/>
    <w:rsid w:val="003B60D4"/>
    <w:rsid w:val="003B66A4"/>
    <w:rsid w:val="003B7C61"/>
    <w:rsid w:val="003C0A70"/>
    <w:rsid w:val="003C0F81"/>
    <w:rsid w:val="003C0FDC"/>
    <w:rsid w:val="003C1628"/>
    <w:rsid w:val="003C2B1B"/>
    <w:rsid w:val="003C43EF"/>
    <w:rsid w:val="003C4495"/>
    <w:rsid w:val="003C464D"/>
    <w:rsid w:val="003C4B53"/>
    <w:rsid w:val="003C4FF3"/>
    <w:rsid w:val="003D0406"/>
    <w:rsid w:val="003D20C4"/>
    <w:rsid w:val="003D2E4C"/>
    <w:rsid w:val="003D3487"/>
    <w:rsid w:val="003D34A0"/>
    <w:rsid w:val="003D4133"/>
    <w:rsid w:val="003D4D5B"/>
    <w:rsid w:val="003D4F68"/>
    <w:rsid w:val="003D68A3"/>
    <w:rsid w:val="003D72A1"/>
    <w:rsid w:val="003D76CD"/>
    <w:rsid w:val="003D7A9E"/>
    <w:rsid w:val="003E0F35"/>
    <w:rsid w:val="003E14A9"/>
    <w:rsid w:val="003E1C0A"/>
    <w:rsid w:val="003E22CB"/>
    <w:rsid w:val="003E258F"/>
    <w:rsid w:val="003E3AF4"/>
    <w:rsid w:val="003E3D8A"/>
    <w:rsid w:val="003E3F93"/>
    <w:rsid w:val="003E432A"/>
    <w:rsid w:val="003E44AF"/>
    <w:rsid w:val="003E4568"/>
    <w:rsid w:val="003E54B7"/>
    <w:rsid w:val="003E5FA0"/>
    <w:rsid w:val="003E60F8"/>
    <w:rsid w:val="003E740C"/>
    <w:rsid w:val="003F0F13"/>
    <w:rsid w:val="003F215B"/>
    <w:rsid w:val="003F40BA"/>
    <w:rsid w:val="003F5F7A"/>
    <w:rsid w:val="003F60B5"/>
    <w:rsid w:val="003F6FC9"/>
    <w:rsid w:val="004000E2"/>
    <w:rsid w:val="00400274"/>
    <w:rsid w:val="00400B9A"/>
    <w:rsid w:val="004027AD"/>
    <w:rsid w:val="00403758"/>
    <w:rsid w:val="00403D51"/>
    <w:rsid w:val="00404530"/>
    <w:rsid w:val="00404C37"/>
    <w:rsid w:val="004058BD"/>
    <w:rsid w:val="0040597B"/>
    <w:rsid w:val="0040778D"/>
    <w:rsid w:val="00410A65"/>
    <w:rsid w:val="00413518"/>
    <w:rsid w:val="0041369A"/>
    <w:rsid w:val="0041480C"/>
    <w:rsid w:val="00415254"/>
    <w:rsid w:val="0041625C"/>
    <w:rsid w:val="00416FB6"/>
    <w:rsid w:val="00417339"/>
    <w:rsid w:val="0041739E"/>
    <w:rsid w:val="0041783B"/>
    <w:rsid w:val="004223A6"/>
    <w:rsid w:val="0042286B"/>
    <w:rsid w:val="00424A45"/>
    <w:rsid w:val="004259F8"/>
    <w:rsid w:val="00427BEE"/>
    <w:rsid w:val="0043271A"/>
    <w:rsid w:val="00432796"/>
    <w:rsid w:val="00432EB4"/>
    <w:rsid w:val="00432F29"/>
    <w:rsid w:val="00434057"/>
    <w:rsid w:val="004349D6"/>
    <w:rsid w:val="00435096"/>
    <w:rsid w:val="00435179"/>
    <w:rsid w:val="00435A3B"/>
    <w:rsid w:val="00437EC9"/>
    <w:rsid w:val="0044241B"/>
    <w:rsid w:val="00442439"/>
    <w:rsid w:val="0044261D"/>
    <w:rsid w:val="00443A29"/>
    <w:rsid w:val="00443EE4"/>
    <w:rsid w:val="00444190"/>
    <w:rsid w:val="00444616"/>
    <w:rsid w:val="0044477A"/>
    <w:rsid w:val="004448CA"/>
    <w:rsid w:val="004468BC"/>
    <w:rsid w:val="00447517"/>
    <w:rsid w:val="00450760"/>
    <w:rsid w:val="00450FE7"/>
    <w:rsid w:val="00451AA9"/>
    <w:rsid w:val="00451C8B"/>
    <w:rsid w:val="00452EC7"/>
    <w:rsid w:val="00453175"/>
    <w:rsid w:val="00453780"/>
    <w:rsid w:val="0045398A"/>
    <w:rsid w:val="00453AC7"/>
    <w:rsid w:val="00455495"/>
    <w:rsid w:val="00455FD2"/>
    <w:rsid w:val="0045736A"/>
    <w:rsid w:val="00460DF1"/>
    <w:rsid w:val="00461BB7"/>
    <w:rsid w:val="00463CA5"/>
    <w:rsid w:val="00464469"/>
    <w:rsid w:val="00465117"/>
    <w:rsid w:val="0046519F"/>
    <w:rsid w:val="00465236"/>
    <w:rsid w:val="004657FC"/>
    <w:rsid w:val="004665B7"/>
    <w:rsid w:val="0046678C"/>
    <w:rsid w:val="0046760B"/>
    <w:rsid w:val="004702B9"/>
    <w:rsid w:val="00470BB5"/>
    <w:rsid w:val="004718FE"/>
    <w:rsid w:val="00471F93"/>
    <w:rsid w:val="00472F5C"/>
    <w:rsid w:val="00473A67"/>
    <w:rsid w:val="00474956"/>
    <w:rsid w:val="00474B58"/>
    <w:rsid w:val="00474C83"/>
    <w:rsid w:val="00476421"/>
    <w:rsid w:val="00480DA8"/>
    <w:rsid w:val="004829FE"/>
    <w:rsid w:val="00483130"/>
    <w:rsid w:val="00483625"/>
    <w:rsid w:val="004845FB"/>
    <w:rsid w:val="004854F8"/>
    <w:rsid w:val="0048572B"/>
    <w:rsid w:val="004871B3"/>
    <w:rsid w:val="00487807"/>
    <w:rsid w:val="00487944"/>
    <w:rsid w:val="00490153"/>
    <w:rsid w:val="00491266"/>
    <w:rsid w:val="004914A6"/>
    <w:rsid w:val="00491EC7"/>
    <w:rsid w:val="00492522"/>
    <w:rsid w:val="00492CAF"/>
    <w:rsid w:val="00494561"/>
    <w:rsid w:val="00495006"/>
    <w:rsid w:val="00495A25"/>
    <w:rsid w:val="00495D87"/>
    <w:rsid w:val="00495F6A"/>
    <w:rsid w:val="004963D7"/>
    <w:rsid w:val="00496E0E"/>
    <w:rsid w:val="004978B8"/>
    <w:rsid w:val="004A07BF"/>
    <w:rsid w:val="004A1723"/>
    <w:rsid w:val="004A1D57"/>
    <w:rsid w:val="004A1FA4"/>
    <w:rsid w:val="004A2462"/>
    <w:rsid w:val="004A2A46"/>
    <w:rsid w:val="004A5050"/>
    <w:rsid w:val="004A51EB"/>
    <w:rsid w:val="004A61B9"/>
    <w:rsid w:val="004A6DB8"/>
    <w:rsid w:val="004A7384"/>
    <w:rsid w:val="004A7843"/>
    <w:rsid w:val="004A7D24"/>
    <w:rsid w:val="004A7DCF"/>
    <w:rsid w:val="004B0C5D"/>
    <w:rsid w:val="004B1084"/>
    <w:rsid w:val="004B23A5"/>
    <w:rsid w:val="004B247B"/>
    <w:rsid w:val="004B35BC"/>
    <w:rsid w:val="004B3E8D"/>
    <w:rsid w:val="004B3FD6"/>
    <w:rsid w:val="004B50AE"/>
    <w:rsid w:val="004B5691"/>
    <w:rsid w:val="004B757F"/>
    <w:rsid w:val="004C0183"/>
    <w:rsid w:val="004C0761"/>
    <w:rsid w:val="004C125A"/>
    <w:rsid w:val="004C1830"/>
    <w:rsid w:val="004C23A2"/>
    <w:rsid w:val="004C2625"/>
    <w:rsid w:val="004C280F"/>
    <w:rsid w:val="004C3628"/>
    <w:rsid w:val="004C468D"/>
    <w:rsid w:val="004C554B"/>
    <w:rsid w:val="004C5CFA"/>
    <w:rsid w:val="004C753E"/>
    <w:rsid w:val="004C7780"/>
    <w:rsid w:val="004C7E89"/>
    <w:rsid w:val="004D06F3"/>
    <w:rsid w:val="004D17F4"/>
    <w:rsid w:val="004D3AE0"/>
    <w:rsid w:val="004D5110"/>
    <w:rsid w:val="004D52DA"/>
    <w:rsid w:val="004D69FB"/>
    <w:rsid w:val="004E06E9"/>
    <w:rsid w:val="004E0FAB"/>
    <w:rsid w:val="004E2908"/>
    <w:rsid w:val="004E2C11"/>
    <w:rsid w:val="004E2E25"/>
    <w:rsid w:val="004E5ADD"/>
    <w:rsid w:val="004E78FE"/>
    <w:rsid w:val="004E7D05"/>
    <w:rsid w:val="004F07E5"/>
    <w:rsid w:val="004F0D4F"/>
    <w:rsid w:val="004F0F57"/>
    <w:rsid w:val="004F2470"/>
    <w:rsid w:val="004F2C10"/>
    <w:rsid w:val="004F2D29"/>
    <w:rsid w:val="004F38B8"/>
    <w:rsid w:val="004F3C75"/>
    <w:rsid w:val="004F5BD1"/>
    <w:rsid w:val="004F5EFD"/>
    <w:rsid w:val="004F680F"/>
    <w:rsid w:val="004F7A38"/>
    <w:rsid w:val="0050137C"/>
    <w:rsid w:val="00502117"/>
    <w:rsid w:val="005038F5"/>
    <w:rsid w:val="00503E6D"/>
    <w:rsid w:val="00503EE0"/>
    <w:rsid w:val="00504EE0"/>
    <w:rsid w:val="0050535B"/>
    <w:rsid w:val="00505EB1"/>
    <w:rsid w:val="00506046"/>
    <w:rsid w:val="005061E3"/>
    <w:rsid w:val="005074B6"/>
    <w:rsid w:val="00510478"/>
    <w:rsid w:val="005104BB"/>
    <w:rsid w:val="00511841"/>
    <w:rsid w:val="00511A6D"/>
    <w:rsid w:val="00512153"/>
    <w:rsid w:val="00514468"/>
    <w:rsid w:val="00514DDE"/>
    <w:rsid w:val="00515ECB"/>
    <w:rsid w:val="00520331"/>
    <w:rsid w:val="00521B6A"/>
    <w:rsid w:val="0052234D"/>
    <w:rsid w:val="00522EE4"/>
    <w:rsid w:val="005231CD"/>
    <w:rsid w:val="00523217"/>
    <w:rsid w:val="00524632"/>
    <w:rsid w:val="0052542B"/>
    <w:rsid w:val="00525B92"/>
    <w:rsid w:val="00526159"/>
    <w:rsid w:val="00526D6D"/>
    <w:rsid w:val="00527000"/>
    <w:rsid w:val="00527D19"/>
    <w:rsid w:val="00530312"/>
    <w:rsid w:val="00530783"/>
    <w:rsid w:val="00531B6D"/>
    <w:rsid w:val="005341A3"/>
    <w:rsid w:val="00534D2C"/>
    <w:rsid w:val="00534D81"/>
    <w:rsid w:val="00536B89"/>
    <w:rsid w:val="00536CE1"/>
    <w:rsid w:val="00537533"/>
    <w:rsid w:val="005401AF"/>
    <w:rsid w:val="00540486"/>
    <w:rsid w:val="00540586"/>
    <w:rsid w:val="005417CD"/>
    <w:rsid w:val="00541E39"/>
    <w:rsid w:val="00542D7E"/>
    <w:rsid w:val="00543389"/>
    <w:rsid w:val="005438C6"/>
    <w:rsid w:val="00543C52"/>
    <w:rsid w:val="0054621E"/>
    <w:rsid w:val="00551421"/>
    <w:rsid w:val="00552A9C"/>
    <w:rsid w:val="005535E3"/>
    <w:rsid w:val="00554930"/>
    <w:rsid w:val="00554CC3"/>
    <w:rsid w:val="005552B5"/>
    <w:rsid w:val="00556658"/>
    <w:rsid w:val="00556A53"/>
    <w:rsid w:val="0055774F"/>
    <w:rsid w:val="005578DD"/>
    <w:rsid w:val="00557BF4"/>
    <w:rsid w:val="005607C4"/>
    <w:rsid w:val="00560DD5"/>
    <w:rsid w:val="00562454"/>
    <w:rsid w:val="0056434A"/>
    <w:rsid w:val="005658E2"/>
    <w:rsid w:val="005660B4"/>
    <w:rsid w:val="0056695E"/>
    <w:rsid w:val="00566C96"/>
    <w:rsid w:val="00567818"/>
    <w:rsid w:val="00570790"/>
    <w:rsid w:val="00571641"/>
    <w:rsid w:val="005720BF"/>
    <w:rsid w:val="00572D29"/>
    <w:rsid w:val="00572D3B"/>
    <w:rsid w:val="00572D8A"/>
    <w:rsid w:val="00572E71"/>
    <w:rsid w:val="00573278"/>
    <w:rsid w:val="005736E3"/>
    <w:rsid w:val="00575829"/>
    <w:rsid w:val="00575E1B"/>
    <w:rsid w:val="00576C00"/>
    <w:rsid w:val="00580275"/>
    <w:rsid w:val="005803CD"/>
    <w:rsid w:val="00580B63"/>
    <w:rsid w:val="005816FC"/>
    <w:rsid w:val="00581869"/>
    <w:rsid w:val="005838F8"/>
    <w:rsid w:val="00583B84"/>
    <w:rsid w:val="00583D2D"/>
    <w:rsid w:val="0058430F"/>
    <w:rsid w:val="00584916"/>
    <w:rsid w:val="00584C2C"/>
    <w:rsid w:val="00584FE1"/>
    <w:rsid w:val="005856C6"/>
    <w:rsid w:val="005861B6"/>
    <w:rsid w:val="00586608"/>
    <w:rsid w:val="00587626"/>
    <w:rsid w:val="00587CD5"/>
    <w:rsid w:val="00590360"/>
    <w:rsid w:val="00591721"/>
    <w:rsid w:val="00592064"/>
    <w:rsid w:val="00593262"/>
    <w:rsid w:val="0059365D"/>
    <w:rsid w:val="005943CB"/>
    <w:rsid w:val="00594456"/>
    <w:rsid w:val="00594CB1"/>
    <w:rsid w:val="00594D9A"/>
    <w:rsid w:val="00595261"/>
    <w:rsid w:val="005967C6"/>
    <w:rsid w:val="00596C14"/>
    <w:rsid w:val="005A031D"/>
    <w:rsid w:val="005A06D4"/>
    <w:rsid w:val="005A0EB6"/>
    <w:rsid w:val="005A0EE0"/>
    <w:rsid w:val="005A160A"/>
    <w:rsid w:val="005A1836"/>
    <w:rsid w:val="005A185B"/>
    <w:rsid w:val="005A2798"/>
    <w:rsid w:val="005A3617"/>
    <w:rsid w:val="005A384F"/>
    <w:rsid w:val="005A56A4"/>
    <w:rsid w:val="005A6341"/>
    <w:rsid w:val="005A6511"/>
    <w:rsid w:val="005A69FA"/>
    <w:rsid w:val="005A6EB7"/>
    <w:rsid w:val="005A7196"/>
    <w:rsid w:val="005A7B5B"/>
    <w:rsid w:val="005B0DB3"/>
    <w:rsid w:val="005B1537"/>
    <w:rsid w:val="005B3518"/>
    <w:rsid w:val="005B41CA"/>
    <w:rsid w:val="005B71FB"/>
    <w:rsid w:val="005B7D49"/>
    <w:rsid w:val="005C1A32"/>
    <w:rsid w:val="005C1B2E"/>
    <w:rsid w:val="005C2650"/>
    <w:rsid w:val="005C2DDC"/>
    <w:rsid w:val="005C52A4"/>
    <w:rsid w:val="005C669F"/>
    <w:rsid w:val="005C6D04"/>
    <w:rsid w:val="005C7953"/>
    <w:rsid w:val="005D0D3F"/>
    <w:rsid w:val="005D0FEB"/>
    <w:rsid w:val="005D112C"/>
    <w:rsid w:val="005D1834"/>
    <w:rsid w:val="005D259B"/>
    <w:rsid w:val="005D28B7"/>
    <w:rsid w:val="005D52FB"/>
    <w:rsid w:val="005D53B6"/>
    <w:rsid w:val="005D6411"/>
    <w:rsid w:val="005D6D7E"/>
    <w:rsid w:val="005D725E"/>
    <w:rsid w:val="005E1EE9"/>
    <w:rsid w:val="005E2645"/>
    <w:rsid w:val="005E3318"/>
    <w:rsid w:val="005E4A61"/>
    <w:rsid w:val="005E53B1"/>
    <w:rsid w:val="005E5820"/>
    <w:rsid w:val="005E624A"/>
    <w:rsid w:val="005E6622"/>
    <w:rsid w:val="005E737E"/>
    <w:rsid w:val="005E7F95"/>
    <w:rsid w:val="005F1099"/>
    <w:rsid w:val="005F13D3"/>
    <w:rsid w:val="005F1DA2"/>
    <w:rsid w:val="005F2908"/>
    <w:rsid w:val="005F324E"/>
    <w:rsid w:val="005F416C"/>
    <w:rsid w:val="005F4B6C"/>
    <w:rsid w:val="005F4E97"/>
    <w:rsid w:val="005F549F"/>
    <w:rsid w:val="005F6C30"/>
    <w:rsid w:val="005F6F31"/>
    <w:rsid w:val="005F7073"/>
    <w:rsid w:val="005F72BF"/>
    <w:rsid w:val="005F7D60"/>
    <w:rsid w:val="00600D15"/>
    <w:rsid w:val="0060158B"/>
    <w:rsid w:val="00601936"/>
    <w:rsid w:val="00601C4F"/>
    <w:rsid w:val="00601E1D"/>
    <w:rsid w:val="0060228B"/>
    <w:rsid w:val="0060236A"/>
    <w:rsid w:val="00603561"/>
    <w:rsid w:val="00604858"/>
    <w:rsid w:val="006050EE"/>
    <w:rsid w:val="006051A3"/>
    <w:rsid w:val="006053DE"/>
    <w:rsid w:val="00605533"/>
    <w:rsid w:val="00605D9E"/>
    <w:rsid w:val="0060618D"/>
    <w:rsid w:val="00611099"/>
    <w:rsid w:val="00612499"/>
    <w:rsid w:val="0061254A"/>
    <w:rsid w:val="00612D8D"/>
    <w:rsid w:val="00614694"/>
    <w:rsid w:val="00614724"/>
    <w:rsid w:val="0061511E"/>
    <w:rsid w:val="0061554A"/>
    <w:rsid w:val="00615EB2"/>
    <w:rsid w:val="00616684"/>
    <w:rsid w:val="0061704B"/>
    <w:rsid w:val="00617974"/>
    <w:rsid w:val="006206BB"/>
    <w:rsid w:val="00621192"/>
    <w:rsid w:val="006211BC"/>
    <w:rsid w:val="00621F61"/>
    <w:rsid w:val="00621FB7"/>
    <w:rsid w:val="006222B0"/>
    <w:rsid w:val="00622F8D"/>
    <w:rsid w:val="00623579"/>
    <w:rsid w:val="00624399"/>
    <w:rsid w:val="00624D12"/>
    <w:rsid w:val="006250FB"/>
    <w:rsid w:val="00626214"/>
    <w:rsid w:val="00626273"/>
    <w:rsid w:val="00626D6A"/>
    <w:rsid w:val="00626E96"/>
    <w:rsid w:val="006274A4"/>
    <w:rsid w:val="006278C0"/>
    <w:rsid w:val="00630290"/>
    <w:rsid w:val="00631481"/>
    <w:rsid w:val="00631E30"/>
    <w:rsid w:val="00632E3D"/>
    <w:rsid w:val="00633253"/>
    <w:rsid w:val="006343B2"/>
    <w:rsid w:val="00634663"/>
    <w:rsid w:val="00634978"/>
    <w:rsid w:val="00634F83"/>
    <w:rsid w:val="00635656"/>
    <w:rsid w:val="00635C86"/>
    <w:rsid w:val="00637636"/>
    <w:rsid w:val="00637A2D"/>
    <w:rsid w:val="00640D75"/>
    <w:rsid w:val="00641878"/>
    <w:rsid w:val="00644A8B"/>
    <w:rsid w:val="00645C20"/>
    <w:rsid w:val="00647A68"/>
    <w:rsid w:val="00647D86"/>
    <w:rsid w:val="00652006"/>
    <w:rsid w:val="0065246C"/>
    <w:rsid w:val="00654D27"/>
    <w:rsid w:val="00654F15"/>
    <w:rsid w:val="0065549B"/>
    <w:rsid w:val="00662459"/>
    <w:rsid w:val="006637A3"/>
    <w:rsid w:val="006651FC"/>
    <w:rsid w:val="00665241"/>
    <w:rsid w:val="00665277"/>
    <w:rsid w:val="006655A4"/>
    <w:rsid w:val="0066565D"/>
    <w:rsid w:val="0066591D"/>
    <w:rsid w:val="006664DF"/>
    <w:rsid w:val="00667667"/>
    <w:rsid w:val="00667719"/>
    <w:rsid w:val="00671C60"/>
    <w:rsid w:val="00672625"/>
    <w:rsid w:val="00672E7A"/>
    <w:rsid w:val="006736ED"/>
    <w:rsid w:val="00673CDD"/>
    <w:rsid w:val="00673DC6"/>
    <w:rsid w:val="00674568"/>
    <w:rsid w:val="00674C23"/>
    <w:rsid w:val="00674FE7"/>
    <w:rsid w:val="00675241"/>
    <w:rsid w:val="00676FF0"/>
    <w:rsid w:val="00677C85"/>
    <w:rsid w:val="00680748"/>
    <w:rsid w:val="00680AF7"/>
    <w:rsid w:val="006817C2"/>
    <w:rsid w:val="00681CD4"/>
    <w:rsid w:val="0068211C"/>
    <w:rsid w:val="0068250F"/>
    <w:rsid w:val="006827E4"/>
    <w:rsid w:val="00684BBD"/>
    <w:rsid w:val="006851AB"/>
    <w:rsid w:val="006867F9"/>
    <w:rsid w:val="00686948"/>
    <w:rsid w:val="00690452"/>
    <w:rsid w:val="00691CC4"/>
    <w:rsid w:val="0069273F"/>
    <w:rsid w:val="00693BED"/>
    <w:rsid w:val="006942F4"/>
    <w:rsid w:val="006950B9"/>
    <w:rsid w:val="00695779"/>
    <w:rsid w:val="00695965"/>
    <w:rsid w:val="006960B5"/>
    <w:rsid w:val="00696F1E"/>
    <w:rsid w:val="0069790B"/>
    <w:rsid w:val="006A1B9F"/>
    <w:rsid w:val="006A1FCD"/>
    <w:rsid w:val="006A3251"/>
    <w:rsid w:val="006A3E2C"/>
    <w:rsid w:val="006A3F90"/>
    <w:rsid w:val="006A5CF6"/>
    <w:rsid w:val="006A7B8B"/>
    <w:rsid w:val="006B04CE"/>
    <w:rsid w:val="006B11BE"/>
    <w:rsid w:val="006B17E1"/>
    <w:rsid w:val="006B241D"/>
    <w:rsid w:val="006B3540"/>
    <w:rsid w:val="006B4C68"/>
    <w:rsid w:val="006B4F1A"/>
    <w:rsid w:val="006B53E2"/>
    <w:rsid w:val="006B5478"/>
    <w:rsid w:val="006B57DD"/>
    <w:rsid w:val="006C0080"/>
    <w:rsid w:val="006C06FE"/>
    <w:rsid w:val="006C098C"/>
    <w:rsid w:val="006C1381"/>
    <w:rsid w:val="006C1C1B"/>
    <w:rsid w:val="006C1DD6"/>
    <w:rsid w:val="006C21D4"/>
    <w:rsid w:val="006C339E"/>
    <w:rsid w:val="006C346C"/>
    <w:rsid w:val="006C3518"/>
    <w:rsid w:val="006C3FD7"/>
    <w:rsid w:val="006C44E9"/>
    <w:rsid w:val="006C450A"/>
    <w:rsid w:val="006C4C77"/>
    <w:rsid w:val="006C7539"/>
    <w:rsid w:val="006C7D23"/>
    <w:rsid w:val="006D1BF1"/>
    <w:rsid w:val="006D2513"/>
    <w:rsid w:val="006D34BA"/>
    <w:rsid w:val="006D3F29"/>
    <w:rsid w:val="006D3FDB"/>
    <w:rsid w:val="006D4845"/>
    <w:rsid w:val="006D658C"/>
    <w:rsid w:val="006D77EE"/>
    <w:rsid w:val="006E0491"/>
    <w:rsid w:val="006E0BAE"/>
    <w:rsid w:val="006E25C5"/>
    <w:rsid w:val="006E282A"/>
    <w:rsid w:val="006E3482"/>
    <w:rsid w:val="006E492F"/>
    <w:rsid w:val="006E4DEC"/>
    <w:rsid w:val="006E59A3"/>
    <w:rsid w:val="006E59B8"/>
    <w:rsid w:val="006E5D40"/>
    <w:rsid w:val="006E5F96"/>
    <w:rsid w:val="006E61CE"/>
    <w:rsid w:val="006E6627"/>
    <w:rsid w:val="006E67EA"/>
    <w:rsid w:val="006F065A"/>
    <w:rsid w:val="006F0A51"/>
    <w:rsid w:val="006F183C"/>
    <w:rsid w:val="006F1FDC"/>
    <w:rsid w:val="006F2050"/>
    <w:rsid w:val="006F255E"/>
    <w:rsid w:val="006F3543"/>
    <w:rsid w:val="006F354E"/>
    <w:rsid w:val="006F380D"/>
    <w:rsid w:val="006F3D64"/>
    <w:rsid w:val="006F48F8"/>
    <w:rsid w:val="006F4968"/>
    <w:rsid w:val="006F5D4E"/>
    <w:rsid w:val="006F647A"/>
    <w:rsid w:val="006F746C"/>
    <w:rsid w:val="006F7A4C"/>
    <w:rsid w:val="00700561"/>
    <w:rsid w:val="00700B1B"/>
    <w:rsid w:val="00700BA1"/>
    <w:rsid w:val="00702AC5"/>
    <w:rsid w:val="00703235"/>
    <w:rsid w:val="007045E2"/>
    <w:rsid w:val="00704607"/>
    <w:rsid w:val="0070462F"/>
    <w:rsid w:val="00704FE4"/>
    <w:rsid w:val="00705DFE"/>
    <w:rsid w:val="00710B02"/>
    <w:rsid w:val="007117C0"/>
    <w:rsid w:val="00713DB8"/>
    <w:rsid w:val="00715B36"/>
    <w:rsid w:val="00715FD9"/>
    <w:rsid w:val="007164AA"/>
    <w:rsid w:val="007172F1"/>
    <w:rsid w:val="00720386"/>
    <w:rsid w:val="00720AF1"/>
    <w:rsid w:val="00720EDD"/>
    <w:rsid w:val="0072118D"/>
    <w:rsid w:val="00721618"/>
    <w:rsid w:val="00721913"/>
    <w:rsid w:val="00721B86"/>
    <w:rsid w:val="00721F36"/>
    <w:rsid w:val="00722326"/>
    <w:rsid w:val="00722B5D"/>
    <w:rsid w:val="0072452E"/>
    <w:rsid w:val="00725EA1"/>
    <w:rsid w:val="00726916"/>
    <w:rsid w:val="00726A4A"/>
    <w:rsid w:val="0072704E"/>
    <w:rsid w:val="007333B9"/>
    <w:rsid w:val="0073427D"/>
    <w:rsid w:val="0073540A"/>
    <w:rsid w:val="00736BFB"/>
    <w:rsid w:val="007412C3"/>
    <w:rsid w:val="0074344B"/>
    <w:rsid w:val="00743CA8"/>
    <w:rsid w:val="007444F7"/>
    <w:rsid w:val="007459B8"/>
    <w:rsid w:val="00745E9A"/>
    <w:rsid w:val="00746C78"/>
    <w:rsid w:val="0075079F"/>
    <w:rsid w:val="00750EA1"/>
    <w:rsid w:val="00752484"/>
    <w:rsid w:val="007575E9"/>
    <w:rsid w:val="007577DC"/>
    <w:rsid w:val="0076214F"/>
    <w:rsid w:val="00764377"/>
    <w:rsid w:val="007649B9"/>
    <w:rsid w:val="00765FC2"/>
    <w:rsid w:val="00770B75"/>
    <w:rsid w:val="007714FF"/>
    <w:rsid w:val="00771668"/>
    <w:rsid w:val="007724C7"/>
    <w:rsid w:val="00772BE1"/>
    <w:rsid w:val="007730F1"/>
    <w:rsid w:val="007737B6"/>
    <w:rsid w:val="00774612"/>
    <w:rsid w:val="00774AF0"/>
    <w:rsid w:val="00774F22"/>
    <w:rsid w:val="00782307"/>
    <w:rsid w:val="00782C5C"/>
    <w:rsid w:val="00782F74"/>
    <w:rsid w:val="00783551"/>
    <w:rsid w:val="0078387B"/>
    <w:rsid w:val="00784F23"/>
    <w:rsid w:val="007851FC"/>
    <w:rsid w:val="007855EA"/>
    <w:rsid w:val="0078560A"/>
    <w:rsid w:val="00785BF8"/>
    <w:rsid w:val="00786635"/>
    <w:rsid w:val="00787012"/>
    <w:rsid w:val="00787544"/>
    <w:rsid w:val="007907EB"/>
    <w:rsid w:val="00790C9D"/>
    <w:rsid w:val="00790CB6"/>
    <w:rsid w:val="00791DCE"/>
    <w:rsid w:val="0079226E"/>
    <w:rsid w:val="00793648"/>
    <w:rsid w:val="007937BB"/>
    <w:rsid w:val="00793C28"/>
    <w:rsid w:val="00794935"/>
    <w:rsid w:val="00795637"/>
    <w:rsid w:val="00796760"/>
    <w:rsid w:val="00796975"/>
    <w:rsid w:val="007972CE"/>
    <w:rsid w:val="007974CF"/>
    <w:rsid w:val="007A05ED"/>
    <w:rsid w:val="007A15DB"/>
    <w:rsid w:val="007A1CE2"/>
    <w:rsid w:val="007A2244"/>
    <w:rsid w:val="007A45CE"/>
    <w:rsid w:val="007A55B0"/>
    <w:rsid w:val="007A65AE"/>
    <w:rsid w:val="007A678D"/>
    <w:rsid w:val="007A6A94"/>
    <w:rsid w:val="007A6C54"/>
    <w:rsid w:val="007A6E48"/>
    <w:rsid w:val="007A705F"/>
    <w:rsid w:val="007A78FE"/>
    <w:rsid w:val="007A7FCD"/>
    <w:rsid w:val="007B0187"/>
    <w:rsid w:val="007B0DDC"/>
    <w:rsid w:val="007B11DD"/>
    <w:rsid w:val="007B153F"/>
    <w:rsid w:val="007B2073"/>
    <w:rsid w:val="007B24CD"/>
    <w:rsid w:val="007B262D"/>
    <w:rsid w:val="007B4A55"/>
    <w:rsid w:val="007B5415"/>
    <w:rsid w:val="007B5418"/>
    <w:rsid w:val="007C0902"/>
    <w:rsid w:val="007C0E6F"/>
    <w:rsid w:val="007C1F3E"/>
    <w:rsid w:val="007C2B34"/>
    <w:rsid w:val="007C3890"/>
    <w:rsid w:val="007C3E50"/>
    <w:rsid w:val="007C3F92"/>
    <w:rsid w:val="007C62EF"/>
    <w:rsid w:val="007C709C"/>
    <w:rsid w:val="007C7F32"/>
    <w:rsid w:val="007D0172"/>
    <w:rsid w:val="007D0449"/>
    <w:rsid w:val="007D0F81"/>
    <w:rsid w:val="007D1BA4"/>
    <w:rsid w:val="007D2AAE"/>
    <w:rsid w:val="007D2C27"/>
    <w:rsid w:val="007D407D"/>
    <w:rsid w:val="007D4512"/>
    <w:rsid w:val="007D670D"/>
    <w:rsid w:val="007D7A92"/>
    <w:rsid w:val="007D7EA9"/>
    <w:rsid w:val="007E06DB"/>
    <w:rsid w:val="007E2855"/>
    <w:rsid w:val="007E3C8A"/>
    <w:rsid w:val="007E3F10"/>
    <w:rsid w:val="007E4610"/>
    <w:rsid w:val="007E7D06"/>
    <w:rsid w:val="007F0B07"/>
    <w:rsid w:val="007F0D98"/>
    <w:rsid w:val="007F0F2B"/>
    <w:rsid w:val="007F1CE6"/>
    <w:rsid w:val="007F2E0A"/>
    <w:rsid w:val="007F4762"/>
    <w:rsid w:val="007F47D9"/>
    <w:rsid w:val="007F6A7A"/>
    <w:rsid w:val="007F78B0"/>
    <w:rsid w:val="007F7C1B"/>
    <w:rsid w:val="007F7C6E"/>
    <w:rsid w:val="007F7CEF"/>
    <w:rsid w:val="0080044F"/>
    <w:rsid w:val="00800C2E"/>
    <w:rsid w:val="00802DDE"/>
    <w:rsid w:val="008032DD"/>
    <w:rsid w:val="008037C0"/>
    <w:rsid w:val="0080435B"/>
    <w:rsid w:val="008052B0"/>
    <w:rsid w:val="00805D85"/>
    <w:rsid w:val="00806546"/>
    <w:rsid w:val="00807513"/>
    <w:rsid w:val="00807953"/>
    <w:rsid w:val="008108A4"/>
    <w:rsid w:val="008108BA"/>
    <w:rsid w:val="00810DB9"/>
    <w:rsid w:val="008138BD"/>
    <w:rsid w:val="00813FDE"/>
    <w:rsid w:val="008147E7"/>
    <w:rsid w:val="00814A8E"/>
    <w:rsid w:val="00815199"/>
    <w:rsid w:val="00815E6F"/>
    <w:rsid w:val="00817315"/>
    <w:rsid w:val="0082146C"/>
    <w:rsid w:val="008217FB"/>
    <w:rsid w:val="00821E01"/>
    <w:rsid w:val="008225C9"/>
    <w:rsid w:val="00822631"/>
    <w:rsid w:val="00822A57"/>
    <w:rsid w:val="008234B0"/>
    <w:rsid w:val="00823521"/>
    <w:rsid w:val="00824CBF"/>
    <w:rsid w:val="008254AA"/>
    <w:rsid w:val="00825F93"/>
    <w:rsid w:val="00826653"/>
    <w:rsid w:val="00827DE9"/>
    <w:rsid w:val="00831E60"/>
    <w:rsid w:val="00832487"/>
    <w:rsid w:val="008348E4"/>
    <w:rsid w:val="0083498B"/>
    <w:rsid w:val="00834D1A"/>
    <w:rsid w:val="008351EE"/>
    <w:rsid w:val="00836007"/>
    <w:rsid w:val="00841729"/>
    <w:rsid w:val="00841AD3"/>
    <w:rsid w:val="008425D0"/>
    <w:rsid w:val="0084334C"/>
    <w:rsid w:val="00843642"/>
    <w:rsid w:val="00843AAA"/>
    <w:rsid w:val="00843E58"/>
    <w:rsid w:val="0084478E"/>
    <w:rsid w:val="00844A61"/>
    <w:rsid w:val="00844CC9"/>
    <w:rsid w:val="008457F6"/>
    <w:rsid w:val="0085019A"/>
    <w:rsid w:val="00850C1C"/>
    <w:rsid w:val="00851368"/>
    <w:rsid w:val="00851AD2"/>
    <w:rsid w:val="00851E89"/>
    <w:rsid w:val="00851F26"/>
    <w:rsid w:val="00852869"/>
    <w:rsid w:val="00854867"/>
    <w:rsid w:val="00856274"/>
    <w:rsid w:val="00856558"/>
    <w:rsid w:val="00856DB6"/>
    <w:rsid w:val="008572F7"/>
    <w:rsid w:val="008573DE"/>
    <w:rsid w:val="00857457"/>
    <w:rsid w:val="0085753E"/>
    <w:rsid w:val="00857F56"/>
    <w:rsid w:val="0086024D"/>
    <w:rsid w:val="00860487"/>
    <w:rsid w:val="008606E9"/>
    <w:rsid w:val="00860CD7"/>
    <w:rsid w:val="00860E0D"/>
    <w:rsid w:val="008613B8"/>
    <w:rsid w:val="0086339E"/>
    <w:rsid w:val="008642E9"/>
    <w:rsid w:val="00864921"/>
    <w:rsid w:val="0086664F"/>
    <w:rsid w:val="00866BFC"/>
    <w:rsid w:val="0086736A"/>
    <w:rsid w:val="008674B6"/>
    <w:rsid w:val="008676F3"/>
    <w:rsid w:val="00867D4F"/>
    <w:rsid w:val="00871B14"/>
    <w:rsid w:val="00871F8E"/>
    <w:rsid w:val="008721DD"/>
    <w:rsid w:val="00872276"/>
    <w:rsid w:val="00872E44"/>
    <w:rsid w:val="00873017"/>
    <w:rsid w:val="00873C21"/>
    <w:rsid w:val="00873F89"/>
    <w:rsid w:val="008740E2"/>
    <w:rsid w:val="00876268"/>
    <w:rsid w:val="008767E4"/>
    <w:rsid w:val="0087683D"/>
    <w:rsid w:val="00877121"/>
    <w:rsid w:val="00880BFC"/>
    <w:rsid w:val="00881271"/>
    <w:rsid w:val="00881B97"/>
    <w:rsid w:val="00881FC6"/>
    <w:rsid w:val="00882C99"/>
    <w:rsid w:val="00883945"/>
    <w:rsid w:val="008843C0"/>
    <w:rsid w:val="0088570E"/>
    <w:rsid w:val="00885AEF"/>
    <w:rsid w:val="008871BE"/>
    <w:rsid w:val="00887F56"/>
    <w:rsid w:val="008909A1"/>
    <w:rsid w:val="00890DB2"/>
    <w:rsid w:val="008923D0"/>
    <w:rsid w:val="0089240C"/>
    <w:rsid w:val="00892B7E"/>
    <w:rsid w:val="00892D09"/>
    <w:rsid w:val="008932FD"/>
    <w:rsid w:val="00893675"/>
    <w:rsid w:val="00894407"/>
    <w:rsid w:val="00895AF0"/>
    <w:rsid w:val="00895C97"/>
    <w:rsid w:val="0089639D"/>
    <w:rsid w:val="00896D79"/>
    <w:rsid w:val="00897D59"/>
    <w:rsid w:val="008A005F"/>
    <w:rsid w:val="008A159B"/>
    <w:rsid w:val="008A16BE"/>
    <w:rsid w:val="008A1B54"/>
    <w:rsid w:val="008A1DE9"/>
    <w:rsid w:val="008A401F"/>
    <w:rsid w:val="008A5A76"/>
    <w:rsid w:val="008A689A"/>
    <w:rsid w:val="008A6E06"/>
    <w:rsid w:val="008B2D5E"/>
    <w:rsid w:val="008B37DF"/>
    <w:rsid w:val="008B48C6"/>
    <w:rsid w:val="008B520B"/>
    <w:rsid w:val="008B564C"/>
    <w:rsid w:val="008B660A"/>
    <w:rsid w:val="008B6AC5"/>
    <w:rsid w:val="008B6E72"/>
    <w:rsid w:val="008B7F12"/>
    <w:rsid w:val="008C0CA6"/>
    <w:rsid w:val="008C0E21"/>
    <w:rsid w:val="008C119F"/>
    <w:rsid w:val="008C1CF8"/>
    <w:rsid w:val="008C1F4A"/>
    <w:rsid w:val="008C2A67"/>
    <w:rsid w:val="008C3587"/>
    <w:rsid w:val="008C45E1"/>
    <w:rsid w:val="008D0D8C"/>
    <w:rsid w:val="008D11E6"/>
    <w:rsid w:val="008D1C11"/>
    <w:rsid w:val="008D2D6C"/>
    <w:rsid w:val="008D3839"/>
    <w:rsid w:val="008D3A4A"/>
    <w:rsid w:val="008D3AE4"/>
    <w:rsid w:val="008D4009"/>
    <w:rsid w:val="008D4015"/>
    <w:rsid w:val="008D4571"/>
    <w:rsid w:val="008D4DCD"/>
    <w:rsid w:val="008D4E10"/>
    <w:rsid w:val="008D5677"/>
    <w:rsid w:val="008D6489"/>
    <w:rsid w:val="008D6C90"/>
    <w:rsid w:val="008D7010"/>
    <w:rsid w:val="008D7025"/>
    <w:rsid w:val="008D7C99"/>
    <w:rsid w:val="008D7F12"/>
    <w:rsid w:val="008E0238"/>
    <w:rsid w:val="008E1598"/>
    <w:rsid w:val="008E166F"/>
    <w:rsid w:val="008E3695"/>
    <w:rsid w:val="008E4093"/>
    <w:rsid w:val="008E4468"/>
    <w:rsid w:val="008E4DEC"/>
    <w:rsid w:val="008E4F2B"/>
    <w:rsid w:val="008E55AE"/>
    <w:rsid w:val="008E663F"/>
    <w:rsid w:val="008E67CE"/>
    <w:rsid w:val="008E6929"/>
    <w:rsid w:val="008E69BF"/>
    <w:rsid w:val="008E7DE7"/>
    <w:rsid w:val="008F0ABB"/>
    <w:rsid w:val="008F1200"/>
    <w:rsid w:val="008F1C35"/>
    <w:rsid w:val="008F1EF5"/>
    <w:rsid w:val="008F356B"/>
    <w:rsid w:val="008F38C7"/>
    <w:rsid w:val="008F3C4D"/>
    <w:rsid w:val="008F7446"/>
    <w:rsid w:val="008F760B"/>
    <w:rsid w:val="00900412"/>
    <w:rsid w:val="00900C1A"/>
    <w:rsid w:val="00901D10"/>
    <w:rsid w:val="009024D6"/>
    <w:rsid w:val="009032EB"/>
    <w:rsid w:val="009041C1"/>
    <w:rsid w:val="009051CC"/>
    <w:rsid w:val="009052FB"/>
    <w:rsid w:val="00905804"/>
    <w:rsid w:val="00906533"/>
    <w:rsid w:val="00906BA4"/>
    <w:rsid w:val="009070F0"/>
    <w:rsid w:val="00910F15"/>
    <w:rsid w:val="0091110C"/>
    <w:rsid w:val="00911647"/>
    <w:rsid w:val="00912E97"/>
    <w:rsid w:val="0091372C"/>
    <w:rsid w:val="0091565C"/>
    <w:rsid w:val="00915A66"/>
    <w:rsid w:val="00915D04"/>
    <w:rsid w:val="00915EEF"/>
    <w:rsid w:val="009170F7"/>
    <w:rsid w:val="00920686"/>
    <w:rsid w:val="0092157F"/>
    <w:rsid w:val="00921681"/>
    <w:rsid w:val="00921962"/>
    <w:rsid w:val="00921EC0"/>
    <w:rsid w:val="00922425"/>
    <w:rsid w:val="009236D4"/>
    <w:rsid w:val="00926242"/>
    <w:rsid w:val="009273EC"/>
    <w:rsid w:val="009312F8"/>
    <w:rsid w:val="00931305"/>
    <w:rsid w:val="00931A6A"/>
    <w:rsid w:val="009320FA"/>
    <w:rsid w:val="0093363E"/>
    <w:rsid w:val="009347AE"/>
    <w:rsid w:val="00934B2D"/>
    <w:rsid w:val="009367E2"/>
    <w:rsid w:val="0093722E"/>
    <w:rsid w:val="00937495"/>
    <w:rsid w:val="00937828"/>
    <w:rsid w:val="00937EDF"/>
    <w:rsid w:val="00937F69"/>
    <w:rsid w:val="0094019D"/>
    <w:rsid w:val="00940E1A"/>
    <w:rsid w:val="0094223C"/>
    <w:rsid w:val="00942F2E"/>
    <w:rsid w:val="00944F98"/>
    <w:rsid w:val="00945544"/>
    <w:rsid w:val="00945A9B"/>
    <w:rsid w:val="00945C87"/>
    <w:rsid w:val="009507EE"/>
    <w:rsid w:val="009509E9"/>
    <w:rsid w:val="00950C03"/>
    <w:rsid w:val="00951854"/>
    <w:rsid w:val="00951EEA"/>
    <w:rsid w:val="009523EE"/>
    <w:rsid w:val="009525E5"/>
    <w:rsid w:val="00952A72"/>
    <w:rsid w:val="00955FBB"/>
    <w:rsid w:val="00956692"/>
    <w:rsid w:val="00957DF4"/>
    <w:rsid w:val="00960C1E"/>
    <w:rsid w:val="00960E2D"/>
    <w:rsid w:val="00961036"/>
    <w:rsid w:val="00962215"/>
    <w:rsid w:val="009623C7"/>
    <w:rsid w:val="00964535"/>
    <w:rsid w:val="00966717"/>
    <w:rsid w:val="009672A3"/>
    <w:rsid w:val="00967B27"/>
    <w:rsid w:val="00967B39"/>
    <w:rsid w:val="009704E5"/>
    <w:rsid w:val="009707C5"/>
    <w:rsid w:val="00970E29"/>
    <w:rsid w:val="00972F5C"/>
    <w:rsid w:val="00972FCE"/>
    <w:rsid w:val="009735E6"/>
    <w:rsid w:val="0097365F"/>
    <w:rsid w:val="00973B58"/>
    <w:rsid w:val="00973DB7"/>
    <w:rsid w:val="009745FE"/>
    <w:rsid w:val="00975B3E"/>
    <w:rsid w:val="00975EE0"/>
    <w:rsid w:val="00976110"/>
    <w:rsid w:val="00977A94"/>
    <w:rsid w:val="009813A9"/>
    <w:rsid w:val="009815CD"/>
    <w:rsid w:val="009816AF"/>
    <w:rsid w:val="0098193C"/>
    <w:rsid w:val="00981EAD"/>
    <w:rsid w:val="00981EBA"/>
    <w:rsid w:val="0098301A"/>
    <w:rsid w:val="00983E59"/>
    <w:rsid w:val="00984DC8"/>
    <w:rsid w:val="009852AA"/>
    <w:rsid w:val="009852B1"/>
    <w:rsid w:val="0098781B"/>
    <w:rsid w:val="0099006D"/>
    <w:rsid w:val="00994972"/>
    <w:rsid w:val="00994DDF"/>
    <w:rsid w:val="00994EB9"/>
    <w:rsid w:val="00995920"/>
    <w:rsid w:val="00995FE2"/>
    <w:rsid w:val="00996B5E"/>
    <w:rsid w:val="00996E99"/>
    <w:rsid w:val="00996F71"/>
    <w:rsid w:val="009978A4"/>
    <w:rsid w:val="009A2576"/>
    <w:rsid w:val="009A2FD9"/>
    <w:rsid w:val="009A300E"/>
    <w:rsid w:val="009A38B6"/>
    <w:rsid w:val="009A59F3"/>
    <w:rsid w:val="009A63B9"/>
    <w:rsid w:val="009A68A0"/>
    <w:rsid w:val="009B202B"/>
    <w:rsid w:val="009B30B6"/>
    <w:rsid w:val="009B3B58"/>
    <w:rsid w:val="009B3C01"/>
    <w:rsid w:val="009B42BB"/>
    <w:rsid w:val="009B4623"/>
    <w:rsid w:val="009B4A40"/>
    <w:rsid w:val="009B5248"/>
    <w:rsid w:val="009B5E8F"/>
    <w:rsid w:val="009B68BF"/>
    <w:rsid w:val="009B6C74"/>
    <w:rsid w:val="009B73F1"/>
    <w:rsid w:val="009B7BF3"/>
    <w:rsid w:val="009C0F54"/>
    <w:rsid w:val="009C2327"/>
    <w:rsid w:val="009C34FD"/>
    <w:rsid w:val="009C5181"/>
    <w:rsid w:val="009C6626"/>
    <w:rsid w:val="009C72D3"/>
    <w:rsid w:val="009C7430"/>
    <w:rsid w:val="009D045B"/>
    <w:rsid w:val="009D05DF"/>
    <w:rsid w:val="009D1AE9"/>
    <w:rsid w:val="009D2206"/>
    <w:rsid w:val="009D325B"/>
    <w:rsid w:val="009D36DA"/>
    <w:rsid w:val="009D3BAC"/>
    <w:rsid w:val="009D3C8E"/>
    <w:rsid w:val="009D4FE9"/>
    <w:rsid w:val="009D594F"/>
    <w:rsid w:val="009D624F"/>
    <w:rsid w:val="009D694A"/>
    <w:rsid w:val="009E0C7F"/>
    <w:rsid w:val="009E1997"/>
    <w:rsid w:val="009E1CE8"/>
    <w:rsid w:val="009E3539"/>
    <w:rsid w:val="009E4092"/>
    <w:rsid w:val="009E4956"/>
    <w:rsid w:val="009E65DD"/>
    <w:rsid w:val="009F0C46"/>
    <w:rsid w:val="009F1D78"/>
    <w:rsid w:val="009F2698"/>
    <w:rsid w:val="009F2716"/>
    <w:rsid w:val="009F2DBE"/>
    <w:rsid w:val="009F360C"/>
    <w:rsid w:val="009F3CD6"/>
    <w:rsid w:val="009F3D34"/>
    <w:rsid w:val="009F4D80"/>
    <w:rsid w:val="009F4FB2"/>
    <w:rsid w:val="009F5289"/>
    <w:rsid w:val="009F5514"/>
    <w:rsid w:val="009F665C"/>
    <w:rsid w:val="009F7ECF"/>
    <w:rsid w:val="00A0023F"/>
    <w:rsid w:val="00A015E5"/>
    <w:rsid w:val="00A01D56"/>
    <w:rsid w:val="00A040C3"/>
    <w:rsid w:val="00A042C1"/>
    <w:rsid w:val="00A048BC"/>
    <w:rsid w:val="00A04B90"/>
    <w:rsid w:val="00A06651"/>
    <w:rsid w:val="00A07979"/>
    <w:rsid w:val="00A10DCB"/>
    <w:rsid w:val="00A11AAE"/>
    <w:rsid w:val="00A11F5B"/>
    <w:rsid w:val="00A12814"/>
    <w:rsid w:val="00A12E1E"/>
    <w:rsid w:val="00A12FDA"/>
    <w:rsid w:val="00A13688"/>
    <w:rsid w:val="00A1423C"/>
    <w:rsid w:val="00A14908"/>
    <w:rsid w:val="00A14B51"/>
    <w:rsid w:val="00A16052"/>
    <w:rsid w:val="00A17475"/>
    <w:rsid w:val="00A20C39"/>
    <w:rsid w:val="00A2102A"/>
    <w:rsid w:val="00A21160"/>
    <w:rsid w:val="00A2168A"/>
    <w:rsid w:val="00A216AA"/>
    <w:rsid w:val="00A2183E"/>
    <w:rsid w:val="00A21F4C"/>
    <w:rsid w:val="00A2308A"/>
    <w:rsid w:val="00A236E1"/>
    <w:rsid w:val="00A241C8"/>
    <w:rsid w:val="00A253DC"/>
    <w:rsid w:val="00A25BCB"/>
    <w:rsid w:val="00A265CE"/>
    <w:rsid w:val="00A27932"/>
    <w:rsid w:val="00A30A91"/>
    <w:rsid w:val="00A3103C"/>
    <w:rsid w:val="00A3295F"/>
    <w:rsid w:val="00A32FCA"/>
    <w:rsid w:val="00A33D1E"/>
    <w:rsid w:val="00A34C6F"/>
    <w:rsid w:val="00A34D46"/>
    <w:rsid w:val="00A35654"/>
    <w:rsid w:val="00A369A6"/>
    <w:rsid w:val="00A36D82"/>
    <w:rsid w:val="00A373F4"/>
    <w:rsid w:val="00A37B44"/>
    <w:rsid w:val="00A40368"/>
    <w:rsid w:val="00A40B7C"/>
    <w:rsid w:val="00A42A24"/>
    <w:rsid w:val="00A42C4C"/>
    <w:rsid w:val="00A43EB7"/>
    <w:rsid w:val="00A44FDC"/>
    <w:rsid w:val="00A44FEF"/>
    <w:rsid w:val="00A45FEF"/>
    <w:rsid w:val="00A464AC"/>
    <w:rsid w:val="00A472D6"/>
    <w:rsid w:val="00A47A34"/>
    <w:rsid w:val="00A5008B"/>
    <w:rsid w:val="00A5112F"/>
    <w:rsid w:val="00A516FD"/>
    <w:rsid w:val="00A5173B"/>
    <w:rsid w:val="00A51B24"/>
    <w:rsid w:val="00A52A81"/>
    <w:rsid w:val="00A53367"/>
    <w:rsid w:val="00A56195"/>
    <w:rsid w:val="00A56364"/>
    <w:rsid w:val="00A60422"/>
    <w:rsid w:val="00A618EF"/>
    <w:rsid w:val="00A62856"/>
    <w:rsid w:val="00A64045"/>
    <w:rsid w:val="00A640E4"/>
    <w:rsid w:val="00A64DFC"/>
    <w:rsid w:val="00A6622C"/>
    <w:rsid w:val="00A67456"/>
    <w:rsid w:val="00A7110F"/>
    <w:rsid w:val="00A7114C"/>
    <w:rsid w:val="00A72EB5"/>
    <w:rsid w:val="00A7382F"/>
    <w:rsid w:val="00A73B8C"/>
    <w:rsid w:val="00A74286"/>
    <w:rsid w:val="00A74CD2"/>
    <w:rsid w:val="00A74DE5"/>
    <w:rsid w:val="00A75277"/>
    <w:rsid w:val="00A752FE"/>
    <w:rsid w:val="00A779DC"/>
    <w:rsid w:val="00A810AB"/>
    <w:rsid w:val="00A812B5"/>
    <w:rsid w:val="00A818E2"/>
    <w:rsid w:val="00A82FE0"/>
    <w:rsid w:val="00A837B1"/>
    <w:rsid w:val="00A83A72"/>
    <w:rsid w:val="00A83F37"/>
    <w:rsid w:val="00A8431B"/>
    <w:rsid w:val="00A8482E"/>
    <w:rsid w:val="00A84C96"/>
    <w:rsid w:val="00A84F27"/>
    <w:rsid w:val="00A86D92"/>
    <w:rsid w:val="00A86DF5"/>
    <w:rsid w:val="00A87560"/>
    <w:rsid w:val="00A90D09"/>
    <w:rsid w:val="00A91ABA"/>
    <w:rsid w:val="00A91BE5"/>
    <w:rsid w:val="00A920A8"/>
    <w:rsid w:val="00A94A83"/>
    <w:rsid w:val="00A95275"/>
    <w:rsid w:val="00A9535D"/>
    <w:rsid w:val="00A97002"/>
    <w:rsid w:val="00A97531"/>
    <w:rsid w:val="00A97A29"/>
    <w:rsid w:val="00A97EE2"/>
    <w:rsid w:val="00AA0A98"/>
    <w:rsid w:val="00AA1525"/>
    <w:rsid w:val="00AA1F2C"/>
    <w:rsid w:val="00AA2025"/>
    <w:rsid w:val="00AA2334"/>
    <w:rsid w:val="00AA2506"/>
    <w:rsid w:val="00AA27DA"/>
    <w:rsid w:val="00AA3328"/>
    <w:rsid w:val="00AA471D"/>
    <w:rsid w:val="00AA4EF1"/>
    <w:rsid w:val="00AA581F"/>
    <w:rsid w:val="00AA598D"/>
    <w:rsid w:val="00AA5AE7"/>
    <w:rsid w:val="00AA7092"/>
    <w:rsid w:val="00AA78DC"/>
    <w:rsid w:val="00AB041C"/>
    <w:rsid w:val="00AB1270"/>
    <w:rsid w:val="00AB199C"/>
    <w:rsid w:val="00AB1FA3"/>
    <w:rsid w:val="00AB52DB"/>
    <w:rsid w:val="00AB534B"/>
    <w:rsid w:val="00AB664E"/>
    <w:rsid w:val="00AB7948"/>
    <w:rsid w:val="00AB7B43"/>
    <w:rsid w:val="00AB7E17"/>
    <w:rsid w:val="00AC039F"/>
    <w:rsid w:val="00AC41B5"/>
    <w:rsid w:val="00AC5877"/>
    <w:rsid w:val="00AC6469"/>
    <w:rsid w:val="00AC679B"/>
    <w:rsid w:val="00AC70D9"/>
    <w:rsid w:val="00AD134F"/>
    <w:rsid w:val="00AD287A"/>
    <w:rsid w:val="00AD4328"/>
    <w:rsid w:val="00AD44F6"/>
    <w:rsid w:val="00AD6239"/>
    <w:rsid w:val="00AD6388"/>
    <w:rsid w:val="00AD75A9"/>
    <w:rsid w:val="00AD777E"/>
    <w:rsid w:val="00AD7D57"/>
    <w:rsid w:val="00AD7E03"/>
    <w:rsid w:val="00AD7F25"/>
    <w:rsid w:val="00AE224C"/>
    <w:rsid w:val="00AE3650"/>
    <w:rsid w:val="00AE3AC5"/>
    <w:rsid w:val="00AE47C7"/>
    <w:rsid w:val="00AE4853"/>
    <w:rsid w:val="00AE49F8"/>
    <w:rsid w:val="00AE56FA"/>
    <w:rsid w:val="00AE5B27"/>
    <w:rsid w:val="00AE6801"/>
    <w:rsid w:val="00AE6E53"/>
    <w:rsid w:val="00AE6EDD"/>
    <w:rsid w:val="00AF0EAF"/>
    <w:rsid w:val="00AF1352"/>
    <w:rsid w:val="00AF1CA3"/>
    <w:rsid w:val="00AF1CEF"/>
    <w:rsid w:val="00AF26F7"/>
    <w:rsid w:val="00AF5886"/>
    <w:rsid w:val="00AF67B4"/>
    <w:rsid w:val="00AF6B65"/>
    <w:rsid w:val="00AF738F"/>
    <w:rsid w:val="00B01222"/>
    <w:rsid w:val="00B0187F"/>
    <w:rsid w:val="00B0357F"/>
    <w:rsid w:val="00B03E07"/>
    <w:rsid w:val="00B041F4"/>
    <w:rsid w:val="00B047A5"/>
    <w:rsid w:val="00B04BD3"/>
    <w:rsid w:val="00B070CE"/>
    <w:rsid w:val="00B076F6"/>
    <w:rsid w:val="00B11192"/>
    <w:rsid w:val="00B12193"/>
    <w:rsid w:val="00B1267E"/>
    <w:rsid w:val="00B12832"/>
    <w:rsid w:val="00B128B5"/>
    <w:rsid w:val="00B1307E"/>
    <w:rsid w:val="00B13CF4"/>
    <w:rsid w:val="00B14AB5"/>
    <w:rsid w:val="00B14EA7"/>
    <w:rsid w:val="00B16275"/>
    <w:rsid w:val="00B165CE"/>
    <w:rsid w:val="00B21369"/>
    <w:rsid w:val="00B22721"/>
    <w:rsid w:val="00B2409C"/>
    <w:rsid w:val="00B24184"/>
    <w:rsid w:val="00B24C9B"/>
    <w:rsid w:val="00B254C6"/>
    <w:rsid w:val="00B25B82"/>
    <w:rsid w:val="00B26F08"/>
    <w:rsid w:val="00B33732"/>
    <w:rsid w:val="00B33834"/>
    <w:rsid w:val="00B33D58"/>
    <w:rsid w:val="00B357D4"/>
    <w:rsid w:val="00B36132"/>
    <w:rsid w:val="00B366A0"/>
    <w:rsid w:val="00B376C0"/>
    <w:rsid w:val="00B403DC"/>
    <w:rsid w:val="00B40620"/>
    <w:rsid w:val="00B40C82"/>
    <w:rsid w:val="00B42F80"/>
    <w:rsid w:val="00B4451A"/>
    <w:rsid w:val="00B44F9B"/>
    <w:rsid w:val="00B458D2"/>
    <w:rsid w:val="00B477AA"/>
    <w:rsid w:val="00B47E81"/>
    <w:rsid w:val="00B5040D"/>
    <w:rsid w:val="00B511B1"/>
    <w:rsid w:val="00B511C4"/>
    <w:rsid w:val="00B51A91"/>
    <w:rsid w:val="00B539A8"/>
    <w:rsid w:val="00B53D88"/>
    <w:rsid w:val="00B53EB1"/>
    <w:rsid w:val="00B554D3"/>
    <w:rsid w:val="00B56174"/>
    <w:rsid w:val="00B57E44"/>
    <w:rsid w:val="00B60981"/>
    <w:rsid w:val="00B60B2D"/>
    <w:rsid w:val="00B61605"/>
    <w:rsid w:val="00B6174C"/>
    <w:rsid w:val="00B6238A"/>
    <w:rsid w:val="00B627F4"/>
    <w:rsid w:val="00B62912"/>
    <w:rsid w:val="00B62AD5"/>
    <w:rsid w:val="00B65B37"/>
    <w:rsid w:val="00B72325"/>
    <w:rsid w:val="00B72880"/>
    <w:rsid w:val="00B73637"/>
    <w:rsid w:val="00B73A57"/>
    <w:rsid w:val="00B76C4A"/>
    <w:rsid w:val="00B77597"/>
    <w:rsid w:val="00B775A7"/>
    <w:rsid w:val="00B803A2"/>
    <w:rsid w:val="00B80D86"/>
    <w:rsid w:val="00B8119C"/>
    <w:rsid w:val="00B835EA"/>
    <w:rsid w:val="00B839C8"/>
    <w:rsid w:val="00B86009"/>
    <w:rsid w:val="00B87131"/>
    <w:rsid w:val="00B87DD9"/>
    <w:rsid w:val="00B92720"/>
    <w:rsid w:val="00B92AD3"/>
    <w:rsid w:val="00B94010"/>
    <w:rsid w:val="00B94097"/>
    <w:rsid w:val="00B95335"/>
    <w:rsid w:val="00B96275"/>
    <w:rsid w:val="00B9631C"/>
    <w:rsid w:val="00B97B96"/>
    <w:rsid w:val="00BA01E3"/>
    <w:rsid w:val="00BA06B2"/>
    <w:rsid w:val="00BA075F"/>
    <w:rsid w:val="00BA0926"/>
    <w:rsid w:val="00BA0C46"/>
    <w:rsid w:val="00BA19EA"/>
    <w:rsid w:val="00BA225A"/>
    <w:rsid w:val="00BA2F73"/>
    <w:rsid w:val="00BA329C"/>
    <w:rsid w:val="00BA38CD"/>
    <w:rsid w:val="00BA3E6D"/>
    <w:rsid w:val="00BA48F6"/>
    <w:rsid w:val="00BA54F5"/>
    <w:rsid w:val="00BA60B8"/>
    <w:rsid w:val="00BA61B0"/>
    <w:rsid w:val="00BA749B"/>
    <w:rsid w:val="00BA7672"/>
    <w:rsid w:val="00BA7C08"/>
    <w:rsid w:val="00BA7FA9"/>
    <w:rsid w:val="00BB14A0"/>
    <w:rsid w:val="00BB151C"/>
    <w:rsid w:val="00BB1A88"/>
    <w:rsid w:val="00BB1B23"/>
    <w:rsid w:val="00BB1F27"/>
    <w:rsid w:val="00BB30AB"/>
    <w:rsid w:val="00BB461B"/>
    <w:rsid w:val="00BB486E"/>
    <w:rsid w:val="00BB5FED"/>
    <w:rsid w:val="00BB62A9"/>
    <w:rsid w:val="00BB7CA0"/>
    <w:rsid w:val="00BC044D"/>
    <w:rsid w:val="00BC0A4E"/>
    <w:rsid w:val="00BC123D"/>
    <w:rsid w:val="00BC14C9"/>
    <w:rsid w:val="00BC1E01"/>
    <w:rsid w:val="00BC3EDC"/>
    <w:rsid w:val="00BC4CBA"/>
    <w:rsid w:val="00BC5902"/>
    <w:rsid w:val="00BC5D8D"/>
    <w:rsid w:val="00BC6403"/>
    <w:rsid w:val="00BC7AF1"/>
    <w:rsid w:val="00BC7F2C"/>
    <w:rsid w:val="00BD030B"/>
    <w:rsid w:val="00BD0F4E"/>
    <w:rsid w:val="00BD0F79"/>
    <w:rsid w:val="00BD2329"/>
    <w:rsid w:val="00BD2469"/>
    <w:rsid w:val="00BD2809"/>
    <w:rsid w:val="00BD3554"/>
    <w:rsid w:val="00BD3719"/>
    <w:rsid w:val="00BD3C18"/>
    <w:rsid w:val="00BD430D"/>
    <w:rsid w:val="00BD4EF8"/>
    <w:rsid w:val="00BD4FFF"/>
    <w:rsid w:val="00BD5325"/>
    <w:rsid w:val="00BD6424"/>
    <w:rsid w:val="00BD7B4D"/>
    <w:rsid w:val="00BE11A5"/>
    <w:rsid w:val="00BE1A18"/>
    <w:rsid w:val="00BE1DCB"/>
    <w:rsid w:val="00BE2DEC"/>
    <w:rsid w:val="00BE42B5"/>
    <w:rsid w:val="00BE4709"/>
    <w:rsid w:val="00BE4C2D"/>
    <w:rsid w:val="00BE5737"/>
    <w:rsid w:val="00BE615D"/>
    <w:rsid w:val="00BE6A94"/>
    <w:rsid w:val="00BE6DE0"/>
    <w:rsid w:val="00BF06D9"/>
    <w:rsid w:val="00BF0A87"/>
    <w:rsid w:val="00BF1407"/>
    <w:rsid w:val="00BF162C"/>
    <w:rsid w:val="00BF1830"/>
    <w:rsid w:val="00BF1E89"/>
    <w:rsid w:val="00BF25A0"/>
    <w:rsid w:val="00BF2649"/>
    <w:rsid w:val="00BF2D1A"/>
    <w:rsid w:val="00BF633C"/>
    <w:rsid w:val="00BF7A8C"/>
    <w:rsid w:val="00BF7D3F"/>
    <w:rsid w:val="00C004C8"/>
    <w:rsid w:val="00C0297C"/>
    <w:rsid w:val="00C029B2"/>
    <w:rsid w:val="00C032A8"/>
    <w:rsid w:val="00C03BB9"/>
    <w:rsid w:val="00C04487"/>
    <w:rsid w:val="00C04F43"/>
    <w:rsid w:val="00C05B04"/>
    <w:rsid w:val="00C10594"/>
    <w:rsid w:val="00C106B0"/>
    <w:rsid w:val="00C11FA2"/>
    <w:rsid w:val="00C12867"/>
    <w:rsid w:val="00C12AAF"/>
    <w:rsid w:val="00C13610"/>
    <w:rsid w:val="00C13C7A"/>
    <w:rsid w:val="00C14B7E"/>
    <w:rsid w:val="00C14C1B"/>
    <w:rsid w:val="00C15218"/>
    <w:rsid w:val="00C15387"/>
    <w:rsid w:val="00C16DF1"/>
    <w:rsid w:val="00C17326"/>
    <w:rsid w:val="00C21726"/>
    <w:rsid w:val="00C21B95"/>
    <w:rsid w:val="00C22435"/>
    <w:rsid w:val="00C22E4F"/>
    <w:rsid w:val="00C23C1E"/>
    <w:rsid w:val="00C24966"/>
    <w:rsid w:val="00C24A4E"/>
    <w:rsid w:val="00C25464"/>
    <w:rsid w:val="00C26E07"/>
    <w:rsid w:val="00C27666"/>
    <w:rsid w:val="00C30691"/>
    <w:rsid w:val="00C3083F"/>
    <w:rsid w:val="00C30CAB"/>
    <w:rsid w:val="00C317BD"/>
    <w:rsid w:val="00C31F6E"/>
    <w:rsid w:val="00C33684"/>
    <w:rsid w:val="00C340E1"/>
    <w:rsid w:val="00C35260"/>
    <w:rsid w:val="00C355D8"/>
    <w:rsid w:val="00C36613"/>
    <w:rsid w:val="00C36A1E"/>
    <w:rsid w:val="00C3755F"/>
    <w:rsid w:val="00C401DB"/>
    <w:rsid w:val="00C42AC6"/>
    <w:rsid w:val="00C42CC5"/>
    <w:rsid w:val="00C4359B"/>
    <w:rsid w:val="00C44187"/>
    <w:rsid w:val="00C453CA"/>
    <w:rsid w:val="00C50251"/>
    <w:rsid w:val="00C52410"/>
    <w:rsid w:val="00C52D52"/>
    <w:rsid w:val="00C52F79"/>
    <w:rsid w:val="00C52FFB"/>
    <w:rsid w:val="00C541DF"/>
    <w:rsid w:val="00C55BB0"/>
    <w:rsid w:val="00C563DA"/>
    <w:rsid w:val="00C6058A"/>
    <w:rsid w:val="00C61D7F"/>
    <w:rsid w:val="00C644E8"/>
    <w:rsid w:val="00C64F2A"/>
    <w:rsid w:val="00C67F18"/>
    <w:rsid w:val="00C70692"/>
    <w:rsid w:val="00C709C9"/>
    <w:rsid w:val="00C74624"/>
    <w:rsid w:val="00C7467C"/>
    <w:rsid w:val="00C7477A"/>
    <w:rsid w:val="00C82706"/>
    <w:rsid w:val="00C82A59"/>
    <w:rsid w:val="00C82A62"/>
    <w:rsid w:val="00C83B74"/>
    <w:rsid w:val="00C83EBC"/>
    <w:rsid w:val="00C8518D"/>
    <w:rsid w:val="00C87016"/>
    <w:rsid w:val="00C87017"/>
    <w:rsid w:val="00C8752A"/>
    <w:rsid w:val="00C87C09"/>
    <w:rsid w:val="00C90EC0"/>
    <w:rsid w:val="00C91C6A"/>
    <w:rsid w:val="00C92F15"/>
    <w:rsid w:val="00C93119"/>
    <w:rsid w:val="00C95248"/>
    <w:rsid w:val="00C95CB5"/>
    <w:rsid w:val="00C95E4E"/>
    <w:rsid w:val="00C95EDC"/>
    <w:rsid w:val="00C96108"/>
    <w:rsid w:val="00C97029"/>
    <w:rsid w:val="00C9717D"/>
    <w:rsid w:val="00C97429"/>
    <w:rsid w:val="00CA0A36"/>
    <w:rsid w:val="00CA0B80"/>
    <w:rsid w:val="00CA13B1"/>
    <w:rsid w:val="00CA2945"/>
    <w:rsid w:val="00CA2DE9"/>
    <w:rsid w:val="00CA2E69"/>
    <w:rsid w:val="00CA302F"/>
    <w:rsid w:val="00CA3B94"/>
    <w:rsid w:val="00CA60AE"/>
    <w:rsid w:val="00CA6A76"/>
    <w:rsid w:val="00CA7707"/>
    <w:rsid w:val="00CB0D81"/>
    <w:rsid w:val="00CB14C6"/>
    <w:rsid w:val="00CB2C07"/>
    <w:rsid w:val="00CB399B"/>
    <w:rsid w:val="00CB5CC5"/>
    <w:rsid w:val="00CB5D8C"/>
    <w:rsid w:val="00CB6128"/>
    <w:rsid w:val="00CB63E6"/>
    <w:rsid w:val="00CB78CF"/>
    <w:rsid w:val="00CB7F3D"/>
    <w:rsid w:val="00CC1086"/>
    <w:rsid w:val="00CC1A1D"/>
    <w:rsid w:val="00CC1C33"/>
    <w:rsid w:val="00CC283E"/>
    <w:rsid w:val="00CC2DD1"/>
    <w:rsid w:val="00CC44E1"/>
    <w:rsid w:val="00CC52F1"/>
    <w:rsid w:val="00CC59CB"/>
    <w:rsid w:val="00CC7632"/>
    <w:rsid w:val="00CC792A"/>
    <w:rsid w:val="00CD1DF0"/>
    <w:rsid w:val="00CD24C7"/>
    <w:rsid w:val="00CD2FE3"/>
    <w:rsid w:val="00CD3F8F"/>
    <w:rsid w:val="00CD4B5B"/>
    <w:rsid w:val="00CD5893"/>
    <w:rsid w:val="00CD63BE"/>
    <w:rsid w:val="00CD68B7"/>
    <w:rsid w:val="00CD7B3C"/>
    <w:rsid w:val="00CD7D80"/>
    <w:rsid w:val="00CD7E5D"/>
    <w:rsid w:val="00CE0E1C"/>
    <w:rsid w:val="00CE1B42"/>
    <w:rsid w:val="00CE5873"/>
    <w:rsid w:val="00CF13F0"/>
    <w:rsid w:val="00CF14E7"/>
    <w:rsid w:val="00CF3F9F"/>
    <w:rsid w:val="00CF57D1"/>
    <w:rsid w:val="00CF6310"/>
    <w:rsid w:val="00D0135E"/>
    <w:rsid w:val="00D0163C"/>
    <w:rsid w:val="00D02360"/>
    <w:rsid w:val="00D02D1B"/>
    <w:rsid w:val="00D0431C"/>
    <w:rsid w:val="00D0446D"/>
    <w:rsid w:val="00D04DEE"/>
    <w:rsid w:val="00D050E6"/>
    <w:rsid w:val="00D07407"/>
    <w:rsid w:val="00D07D6B"/>
    <w:rsid w:val="00D1025E"/>
    <w:rsid w:val="00D105A4"/>
    <w:rsid w:val="00D10F62"/>
    <w:rsid w:val="00D111F9"/>
    <w:rsid w:val="00D125AA"/>
    <w:rsid w:val="00D14746"/>
    <w:rsid w:val="00D151B2"/>
    <w:rsid w:val="00D15DF7"/>
    <w:rsid w:val="00D17B1D"/>
    <w:rsid w:val="00D20D36"/>
    <w:rsid w:val="00D223AB"/>
    <w:rsid w:val="00D2280F"/>
    <w:rsid w:val="00D22E25"/>
    <w:rsid w:val="00D232BB"/>
    <w:rsid w:val="00D23658"/>
    <w:rsid w:val="00D26858"/>
    <w:rsid w:val="00D27FF6"/>
    <w:rsid w:val="00D31089"/>
    <w:rsid w:val="00D31935"/>
    <w:rsid w:val="00D3279E"/>
    <w:rsid w:val="00D337A8"/>
    <w:rsid w:val="00D339E7"/>
    <w:rsid w:val="00D353B6"/>
    <w:rsid w:val="00D406B6"/>
    <w:rsid w:val="00D412A4"/>
    <w:rsid w:val="00D41EF1"/>
    <w:rsid w:val="00D4305F"/>
    <w:rsid w:val="00D440B2"/>
    <w:rsid w:val="00D4437B"/>
    <w:rsid w:val="00D44AD4"/>
    <w:rsid w:val="00D45375"/>
    <w:rsid w:val="00D4548E"/>
    <w:rsid w:val="00D46D9A"/>
    <w:rsid w:val="00D47A86"/>
    <w:rsid w:val="00D50962"/>
    <w:rsid w:val="00D50E02"/>
    <w:rsid w:val="00D51945"/>
    <w:rsid w:val="00D51A79"/>
    <w:rsid w:val="00D5234C"/>
    <w:rsid w:val="00D53996"/>
    <w:rsid w:val="00D53C0D"/>
    <w:rsid w:val="00D53DD9"/>
    <w:rsid w:val="00D5506A"/>
    <w:rsid w:val="00D558D4"/>
    <w:rsid w:val="00D568D5"/>
    <w:rsid w:val="00D56EC7"/>
    <w:rsid w:val="00D61C52"/>
    <w:rsid w:val="00D621DB"/>
    <w:rsid w:val="00D62EAF"/>
    <w:rsid w:val="00D636DA"/>
    <w:rsid w:val="00D63869"/>
    <w:rsid w:val="00D639C6"/>
    <w:rsid w:val="00D65B4D"/>
    <w:rsid w:val="00D65EE9"/>
    <w:rsid w:val="00D65FAE"/>
    <w:rsid w:val="00D66059"/>
    <w:rsid w:val="00D66254"/>
    <w:rsid w:val="00D66A92"/>
    <w:rsid w:val="00D672B7"/>
    <w:rsid w:val="00D676A6"/>
    <w:rsid w:val="00D70818"/>
    <w:rsid w:val="00D70FFB"/>
    <w:rsid w:val="00D71190"/>
    <w:rsid w:val="00D7136A"/>
    <w:rsid w:val="00D71CE0"/>
    <w:rsid w:val="00D721AE"/>
    <w:rsid w:val="00D7224A"/>
    <w:rsid w:val="00D72BDE"/>
    <w:rsid w:val="00D733A5"/>
    <w:rsid w:val="00D74192"/>
    <w:rsid w:val="00D75577"/>
    <w:rsid w:val="00D75CE7"/>
    <w:rsid w:val="00D80814"/>
    <w:rsid w:val="00D81723"/>
    <w:rsid w:val="00D8217D"/>
    <w:rsid w:val="00D825C6"/>
    <w:rsid w:val="00D82A4B"/>
    <w:rsid w:val="00D83907"/>
    <w:rsid w:val="00D84222"/>
    <w:rsid w:val="00D84AC0"/>
    <w:rsid w:val="00D85693"/>
    <w:rsid w:val="00D86B02"/>
    <w:rsid w:val="00D87332"/>
    <w:rsid w:val="00D907AE"/>
    <w:rsid w:val="00D90CB1"/>
    <w:rsid w:val="00D9157D"/>
    <w:rsid w:val="00D92432"/>
    <w:rsid w:val="00D930B8"/>
    <w:rsid w:val="00D93747"/>
    <w:rsid w:val="00D943C4"/>
    <w:rsid w:val="00D94546"/>
    <w:rsid w:val="00D962EA"/>
    <w:rsid w:val="00D9647E"/>
    <w:rsid w:val="00D96BBA"/>
    <w:rsid w:val="00D975BC"/>
    <w:rsid w:val="00D97E54"/>
    <w:rsid w:val="00DA034F"/>
    <w:rsid w:val="00DA0719"/>
    <w:rsid w:val="00DA1500"/>
    <w:rsid w:val="00DA2EE4"/>
    <w:rsid w:val="00DA3582"/>
    <w:rsid w:val="00DA44F1"/>
    <w:rsid w:val="00DA5769"/>
    <w:rsid w:val="00DA59B1"/>
    <w:rsid w:val="00DA6B0D"/>
    <w:rsid w:val="00DB0259"/>
    <w:rsid w:val="00DB07B7"/>
    <w:rsid w:val="00DB1161"/>
    <w:rsid w:val="00DB2061"/>
    <w:rsid w:val="00DB31AB"/>
    <w:rsid w:val="00DB3B2C"/>
    <w:rsid w:val="00DB3E90"/>
    <w:rsid w:val="00DB45FF"/>
    <w:rsid w:val="00DB618B"/>
    <w:rsid w:val="00DB6941"/>
    <w:rsid w:val="00DB6A22"/>
    <w:rsid w:val="00DB6B1B"/>
    <w:rsid w:val="00DB74D1"/>
    <w:rsid w:val="00DB79FD"/>
    <w:rsid w:val="00DB7C9F"/>
    <w:rsid w:val="00DC0303"/>
    <w:rsid w:val="00DC15D6"/>
    <w:rsid w:val="00DC6BB7"/>
    <w:rsid w:val="00DC7212"/>
    <w:rsid w:val="00DC7C2F"/>
    <w:rsid w:val="00DD0EB9"/>
    <w:rsid w:val="00DD100F"/>
    <w:rsid w:val="00DD10BA"/>
    <w:rsid w:val="00DD2A3A"/>
    <w:rsid w:val="00DD399E"/>
    <w:rsid w:val="00DD3B2C"/>
    <w:rsid w:val="00DD49F6"/>
    <w:rsid w:val="00DD49F9"/>
    <w:rsid w:val="00DD579C"/>
    <w:rsid w:val="00DD57EA"/>
    <w:rsid w:val="00DD619A"/>
    <w:rsid w:val="00DD6585"/>
    <w:rsid w:val="00DE080A"/>
    <w:rsid w:val="00DE28AA"/>
    <w:rsid w:val="00DE2D17"/>
    <w:rsid w:val="00DE47B3"/>
    <w:rsid w:val="00DE4AD6"/>
    <w:rsid w:val="00DE4C84"/>
    <w:rsid w:val="00DE4FFC"/>
    <w:rsid w:val="00DE507C"/>
    <w:rsid w:val="00DE5865"/>
    <w:rsid w:val="00DE6C1C"/>
    <w:rsid w:val="00DE7D04"/>
    <w:rsid w:val="00DF081D"/>
    <w:rsid w:val="00DF0AAB"/>
    <w:rsid w:val="00DF12D7"/>
    <w:rsid w:val="00DF138A"/>
    <w:rsid w:val="00DF2023"/>
    <w:rsid w:val="00DF2B45"/>
    <w:rsid w:val="00DF2CBB"/>
    <w:rsid w:val="00DF341B"/>
    <w:rsid w:val="00DF3B5B"/>
    <w:rsid w:val="00DF405D"/>
    <w:rsid w:val="00DF6275"/>
    <w:rsid w:val="00DF6567"/>
    <w:rsid w:val="00DF6EBD"/>
    <w:rsid w:val="00DF71C8"/>
    <w:rsid w:val="00DF76EB"/>
    <w:rsid w:val="00DF7A02"/>
    <w:rsid w:val="00DF7C6D"/>
    <w:rsid w:val="00E00839"/>
    <w:rsid w:val="00E01528"/>
    <w:rsid w:val="00E0213D"/>
    <w:rsid w:val="00E04317"/>
    <w:rsid w:val="00E043ED"/>
    <w:rsid w:val="00E04FEC"/>
    <w:rsid w:val="00E0695F"/>
    <w:rsid w:val="00E10961"/>
    <w:rsid w:val="00E10A94"/>
    <w:rsid w:val="00E10DA6"/>
    <w:rsid w:val="00E1161A"/>
    <w:rsid w:val="00E134F2"/>
    <w:rsid w:val="00E13B23"/>
    <w:rsid w:val="00E13D5D"/>
    <w:rsid w:val="00E1411A"/>
    <w:rsid w:val="00E14E3A"/>
    <w:rsid w:val="00E15F22"/>
    <w:rsid w:val="00E16007"/>
    <w:rsid w:val="00E16886"/>
    <w:rsid w:val="00E16CD5"/>
    <w:rsid w:val="00E17518"/>
    <w:rsid w:val="00E200AF"/>
    <w:rsid w:val="00E20477"/>
    <w:rsid w:val="00E20C21"/>
    <w:rsid w:val="00E219C8"/>
    <w:rsid w:val="00E236DD"/>
    <w:rsid w:val="00E263F0"/>
    <w:rsid w:val="00E2678C"/>
    <w:rsid w:val="00E272C2"/>
    <w:rsid w:val="00E27A71"/>
    <w:rsid w:val="00E306EA"/>
    <w:rsid w:val="00E31AE0"/>
    <w:rsid w:val="00E32312"/>
    <w:rsid w:val="00E336EB"/>
    <w:rsid w:val="00E3662B"/>
    <w:rsid w:val="00E401D2"/>
    <w:rsid w:val="00E41391"/>
    <w:rsid w:val="00E4156B"/>
    <w:rsid w:val="00E420F3"/>
    <w:rsid w:val="00E42E3C"/>
    <w:rsid w:val="00E43012"/>
    <w:rsid w:val="00E445F6"/>
    <w:rsid w:val="00E44A79"/>
    <w:rsid w:val="00E44FFD"/>
    <w:rsid w:val="00E45229"/>
    <w:rsid w:val="00E47A50"/>
    <w:rsid w:val="00E47DC8"/>
    <w:rsid w:val="00E5039C"/>
    <w:rsid w:val="00E515BC"/>
    <w:rsid w:val="00E51C07"/>
    <w:rsid w:val="00E5218D"/>
    <w:rsid w:val="00E5368B"/>
    <w:rsid w:val="00E54255"/>
    <w:rsid w:val="00E54913"/>
    <w:rsid w:val="00E5497E"/>
    <w:rsid w:val="00E549D0"/>
    <w:rsid w:val="00E54CB6"/>
    <w:rsid w:val="00E55E89"/>
    <w:rsid w:val="00E562E9"/>
    <w:rsid w:val="00E56B7C"/>
    <w:rsid w:val="00E56CB4"/>
    <w:rsid w:val="00E579BA"/>
    <w:rsid w:val="00E6013A"/>
    <w:rsid w:val="00E61AEB"/>
    <w:rsid w:val="00E620F4"/>
    <w:rsid w:val="00E62C9D"/>
    <w:rsid w:val="00E65702"/>
    <w:rsid w:val="00E65EC3"/>
    <w:rsid w:val="00E65FA5"/>
    <w:rsid w:val="00E65FE6"/>
    <w:rsid w:val="00E66829"/>
    <w:rsid w:val="00E7106F"/>
    <w:rsid w:val="00E711DF"/>
    <w:rsid w:val="00E7152D"/>
    <w:rsid w:val="00E71AE3"/>
    <w:rsid w:val="00E71CA3"/>
    <w:rsid w:val="00E72BB1"/>
    <w:rsid w:val="00E72C52"/>
    <w:rsid w:val="00E72F11"/>
    <w:rsid w:val="00E73448"/>
    <w:rsid w:val="00E7391A"/>
    <w:rsid w:val="00E73A4D"/>
    <w:rsid w:val="00E7425D"/>
    <w:rsid w:val="00E74427"/>
    <w:rsid w:val="00E75EDD"/>
    <w:rsid w:val="00E762CD"/>
    <w:rsid w:val="00E76583"/>
    <w:rsid w:val="00E76C43"/>
    <w:rsid w:val="00E76C6E"/>
    <w:rsid w:val="00E77C4C"/>
    <w:rsid w:val="00E77FDD"/>
    <w:rsid w:val="00E80B91"/>
    <w:rsid w:val="00E828D0"/>
    <w:rsid w:val="00E8388E"/>
    <w:rsid w:val="00E83C96"/>
    <w:rsid w:val="00E87735"/>
    <w:rsid w:val="00E901BB"/>
    <w:rsid w:val="00E907F2"/>
    <w:rsid w:val="00E91409"/>
    <w:rsid w:val="00E9144C"/>
    <w:rsid w:val="00E91A3E"/>
    <w:rsid w:val="00E9218C"/>
    <w:rsid w:val="00E93691"/>
    <w:rsid w:val="00E94AB9"/>
    <w:rsid w:val="00E94F0D"/>
    <w:rsid w:val="00E95C81"/>
    <w:rsid w:val="00E95F24"/>
    <w:rsid w:val="00E96F5F"/>
    <w:rsid w:val="00E97492"/>
    <w:rsid w:val="00E979D5"/>
    <w:rsid w:val="00E97F21"/>
    <w:rsid w:val="00EA011C"/>
    <w:rsid w:val="00EA199E"/>
    <w:rsid w:val="00EA245F"/>
    <w:rsid w:val="00EA47C5"/>
    <w:rsid w:val="00EA556F"/>
    <w:rsid w:val="00EA5D7A"/>
    <w:rsid w:val="00EA717E"/>
    <w:rsid w:val="00EA7B76"/>
    <w:rsid w:val="00EB00A1"/>
    <w:rsid w:val="00EB2906"/>
    <w:rsid w:val="00EB2AA1"/>
    <w:rsid w:val="00EB36B4"/>
    <w:rsid w:val="00EB407E"/>
    <w:rsid w:val="00EB416C"/>
    <w:rsid w:val="00EB5750"/>
    <w:rsid w:val="00EB5BB6"/>
    <w:rsid w:val="00EB62FE"/>
    <w:rsid w:val="00EB6AAA"/>
    <w:rsid w:val="00EC0E29"/>
    <w:rsid w:val="00EC2250"/>
    <w:rsid w:val="00EC3831"/>
    <w:rsid w:val="00EC3E8A"/>
    <w:rsid w:val="00EC4018"/>
    <w:rsid w:val="00EC4AF7"/>
    <w:rsid w:val="00EC6633"/>
    <w:rsid w:val="00EC6FA8"/>
    <w:rsid w:val="00EC7F56"/>
    <w:rsid w:val="00ED0068"/>
    <w:rsid w:val="00ED1207"/>
    <w:rsid w:val="00ED16E4"/>
    <w:rsid w:val="00ED3A04"/>
    <w:rsid w:val="00ED41C5"/>
    <w:rsid w:val="00ED430E"/>
    <w:rsid w:val="00ED5AEA"/>
    <w:rsid w:val="00ED5D2E"/>
    <w:rsid w:val="00ED6E6A"/>
    <w:rsid w:val="00ED774F"/>
    <w:rsid w:val="00EE007A"/>
    <w:rsid w:val="00EE0AA7"/>
    <w:rsid w:val="00EE1CCC"/>
    <w:rsid w:val="00EE22D4"/>
    <w:rsid w:val="00EE36DF"/>
    <w:rsid w:val="00EE37F1"/>
    <w:rsid w:val="00EE3A66"/>
    <w:rsid w:val="00EE3B18"/>
    <w:rsid w:val="00EE44EE"/>
    <w:rsid w:val="00EE47B8"/>
    <w:rsid w:val="00EE4CDF"/>
    <w:rsid w:val="00EE4FEA"/>
    <w:rsid w:val="00EE7112"/>
    <w:rsid w:val="00EE7CD1"/>
    <w:rsid w:val="00EF10D6"/>
    <w:rsid w:val="00EF2866"/>
    <w:rsid w:val="00EF327A"/>
    <w:rsid w:val="00EF3550"/>
    <w:rsid w:val="00EF3B7E"/>
    <w:rsid w:val="00EF3DF0"/>
    <w:rsid w:val="00EF44AB"/>
    <w:rsid w:val="00EF472C"/>
    <w:rsid w:val="00EF48BD"/>
    <w:rsid w:val="00EF5973"/>
    <w:rsid w:val="00EF5B80"/>
    <w:rsid w:val="00EF5C44"/>
    <w:rsid w:val="00EF7122"/>
    <w:rsid w:val="00EF7421"/>
    <w:rsid w:val="00EF7523"/>
    <w:rsid w:val="00EF7804"/>
    <w:rsid w:val="00EF786D"/>
    <w:rsid w:val="00EF7C2C"/>
    <w:rsid w:val="00F0266D"/>
    <w:rsid w:val="00F02D82"/>
    <w:rsid w:val="00F02FFD"/>
    <w:rsid w:val="00F045A5"/>
    <w:rsid w:val="00F0581A"/>
    <w:rsid w:val="00F06B34"/>
    <w:rsid w:val="00F0730A"/>
    <w:rsid w:val="00F07CFC"/>
    <w:rsid w:val="00F10055"/>
    <w:rsid w:val="00F152AE"/>
    <w:rsid w:val="00F153D1"/>
    <w:rsid w:val="00F16C58"/>
    <w:rsid w:val="00F21166"/>
    <w:rsid w:val="00F222D3"/>
    <w:rsid w:val="00F23E23"/>
    <w:rsid w:val="00F24293"/>
    <w:rsid w:val="00F24529"/>
    <w:rsid w:val="00F24602"/>
    <w:rsid w:val="00F25295"/>
    <w:rsid w:val="00F26307"/>
    <w:rsid w:val="00F26FBB"/>
    <w:rsid w:val="00F273F6"/>
    <w:rsid w:val="00F27D5A"/>
    <w:rsid w:val="00F31139"/>
    <w:rsid w:val="00F31F75"/>
    <w:rsid w:val="00F325B1"/>
    <w:rsid w:val="00F33010"/>
    <w:rsid w:val="00F33198"/>
    <w:rsid w:val="00F33874"/>
    <w:rsid w:val="00F344BF"/>
    <w:rsid w:val="00F34857"/>
    <w:rsid w:val="00F34C8F"/>
    <w:rsid w:val="00F35044"/>
    <w:rsid w:val="00F353A6"/>
    <w:rsid w:val="00F35881"/>
    <w:rsid w:val="00F35A5B"/>
    <w:rsid w:val="00F37A1E"/>
    <w:rsid w:val="00F4071A"/>
    <w:rsid w:val="00F40DBC"/>
    <w:rsid w:val="00F4124D"/>
    <w:rsid w:val="00F41F01"/>
    <w:rsid w:val="00F43977"/>
    <w:rsid w:val="00F43C57"/>
    <w:rsid w:val="00F44A8E"/>
    <w:rsid w:val="00F45939"/>
    <w:rsid w:val="00F45E29"/>
    <w:rsid w:val="00F474E0"/>
    <w:rsid w:val="00F5101A"/>
    <w:rsid w:val="00F51FAD"/>
    <w:rsid w:val="00F5270A"/>
    <w:rsid w:val="00F52A24"/>
    <w:rsid w:val="00F52DB8"/>
    <w:rsid w:val="00F5453D"/>
    <w:rsid w:val="00F547E8"/>
    <w:rsid w:val="00F56CDD"/>
    <w:rsid w:val="00F600AE"/>
    <w:rsid w:val="00F6017C"/>
    <w:rsid w:val="00F60DD4"/>
    <w:rsid w:val="00F60E55"/>
    <w:rsid w:val="00F60F22"/>
    <w:rsid w:val="00F618CC"/>
    <w:rsid w:val="00F61B4E"/>
    <w:rsid w:val="00F61C58"/>
    <w:rsid w:val="00F63529"/>
    <w:rsid w:val="00F63DD9"/>
    <w:rsid w:val="00F7048F"/>
    <w:rsid w:val="00F70C15"/>
    <w:rsid w:val="00F70D0E"/>
    <w:rsid w:val="00F71527"/>
    <w:rsid w:val="00F725EF"/>
    <w:rsid w:val="00F73787"/>
    <w:rsid w:val="00F739A9"/>
    <w:rsid w:val="00F73ACC"/>
    <w:rsid w:val="00F7554D"/>
    <w:rsid w:val="00F75BE5"/>
    <w:rsid w:val="00F761B1"/>
    <w:rsid w:val="00F7762A"/>
    <w:rsid w:val="00F80D78"/>
    <w:rsid w:val="00F8157C"/>
    <w:rsid w:val="00F81E5B"/>
    <w:rsid w:val="00F843EB"/>
    <w:rsid w:val="00F8506D"/>
    <w:rsid w:val="00F8556F"/>
    <w:rsid w:val="00F85FA8"/>
    <w:rsid w:val="00F8657F"/>
    <w:rsid w:val="00F86815"/>
    <w:rsid w:val="00F86B59"/>
    <w:rsid w:val="00F86BA5"/>
    <w:rsid w:val="00F90F53"/>
    <w:rsid w:val="00F91278"/>
    <w:rsid w:val="00F926F1"/>
    <w:rsid w:val="00F92993"/>
    <w:rsid w:val="00F92EA8"/>
    <w:rsid w:val="00F93369"/>
    <w:rsid w:val="00F94D0C"/>
    <w:rsid w:val="00F95C68"/>
    <w:rsid w:val="00F95E65"/>
    <w:rsid w:val="00F963CF"/>
    <w:rsid w:val="00F9756F"/>
    <w:rsid w:val="00F97B9C"/>
    <w:rsid w:val="00FA035F"/>
    <w:rsid w:val="00FA0906"/>
    <w:rsid w:val="00FA10C5"/>
    <w:rsid w:val="00FA225D"/>
    <w:rsid w:val="00FA39D5"/>
    <w:rsid w:val="00FA3A2E"/>
    <w:rsid w:val="00FA42AD"/>
    <w:rsid w:val="00FA4651"/>
    <w:rsid w:val="00FA5AFF"/>
    <w:rsid w:val="00FA6989"/>
    <w:rsid w:val="00FB0BF3"/>
    <w:rsid w:val="00FB15C2"/>
    <w:rsid w:val="00FB2D74"/>
    <w:rsid w:val="00FB307C"/>
    <w:rsid w:val="00FB45D0"/>
    <w:rsid w:val="00FB5507"/>
    <w:rsid w:val="00FB5BF0"/>
    <w:rsid w:val="00FB6031"/>
    <w:rsid w:val="00FB7BE3"/>
    <w:rsid w:val="00FC077E"/>
    <w:rsid w:val="00FC0DA8"/>
    <w:rsid w:val="00FC1508"/>
    <w:rsid w:val="00FC1A14"/>
    <w:rsid w:val="00FC2C17"/>
    <w:rsid w:val="00FC33B5"/>
    <w:rsid w:val="00FC72E9"/>
    <w:rsid w:val="00FD17DB"/>
    <w:rsid w:val="00FD2D1F"/>
    <w:rsid w:val="00FD38CD"/>
    <w:rsid w:val="00FD3A31"/>
    <w:rsid w:val="00FD3F6A"/>
    <w:rsid w:val="00FD3FEC"/>
    <w:rsid w:val="00FD4746"/>
    <w:rsid w:val="00FD5C28"/>
    <w:rsid w:val="00FD60AE"/>
    <w:rsid w:val="00FD6C0E"/>
    <w:rsid w:val="00FD6DD0"/>
    <w:rsid w:val="00FD7857"/>
    <w:rsid w:val="00FE08A0"/>
    <w:rsid w:val="00FE1A3B"/>
    <w:rsid w:val="00FE1A3E"/>
    <w:rsid w:val="00FE2F51"/>
    <w:rsid w:val="00FE3619"/>
    <w:rsid w:val="00FE3DB8"/>
    <w:rsid w:val="00FE4024"/>
    <w:rsid w:val="00FE423B"/>
    <w:rsid w:val="00FE46B3"/>
    <w:rsid w:val="00FE48FC"/>
    <w:rsid w:val="00FE565F"/>
    <w:rsid w:val="00FE640A"/>
    <w:rsid w:val="00FE7B9C"/>
    <w:rsid w:val="00FE7BFD"/>
    <w:rsid w:val="00FE7FF6"/>
    <w:rsid w:val="00FF06C0"/>
    <w:rsid w:val="00FF0DE4"/>
    <w:rsid w:val="00FF143C"/>
    <w:rsid w:val="00FF1767"/>
    <w:rsid w:val="00FF20F3"/>
    <w:rsid w:val="00FF3E1E"/>
    <w:rsid w:val="00FF3E21"/>
    <w:rsid w:val="00FF4908"/>
    <w:rsid w:val="00FF4B3D"/>
    <w:rsid w:val="00FF65DC"/>
    <w:rsid w:val="00FF6799"/>
    <w:rsid w:val="00FF751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spidmax="1026" v:ext="edit"/>
    <o:shapelayout v:ext="edit">
      <o:idmap data="1" v:ext="edit"/>
    </o:shapelayout>
  </w:shapeDefaults>
  <w:decimalSymbol w:val="."/>
  <w:listSeparator w:val=","/>
  <w14:docId w14:val="29803784"/>
  <w15:docId w15:val="{40A472DB-3B3B-4170-8E35-47948F585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style>
  <w:style w:type="paragraph" w:styleId="Heading1">
    <w:name w:val="heading 1"/>
    <w:basedOn w:val="Normal"/>
    <w:next w:val="Normal"/>
    <w:link w:val="Heading1Char"/>
    <w:uiPriority w:val="99"/>
    <w:qFormat/>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locked/>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color w:val="365F91"/>
      <w:sz w:val="28"/>
      <w:szCs w:val="28"/>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paragraph" w:styleId="TOC1">
    <w:name w:val="toc 1"/>
    <w:basedOn w:val="Normal"/>
    <w:next w:val="Normal"/>
    <w:autoRedefine/>
    <w:uiPriority w:val="99"/>
    <w:pPr>
      <w:spacing w:after="100"/>
    </w:pPr>
  </w:style>
  <w:style w:type="character" w:styleId="Hyperlink">
    <w:name w:val="Hyperlink"/>
    <w:basedOn w:val="DefaultParagraphFont"/>
    <w:uiPriority w:val="99"/>
    <w:rPr>
      <w:rFonts w:cs="Times New Roman"/>
      <w:color w:val="0000FF"/>
      <w:u w:val="single"/>
    </w:rPr>
  </w:style>
  <w:style w:type="table" w:styleId="TableGrid">
    <w:name w:val="Table Grid"/>
    <w:basedOn w:val="TableNormal"/>
    <w:uiPriority w:val="99"/>
    <w:locked/>
    <w:pPr>
      <w:spacing w:after="200" w:line="276" w:lineRule="auto"/>
    </w:pPr>
    <w:rPr>
      <w:rFonts w:eastAsia="Times New Roman"/>
      <w:sz w:val="20"/>
      <w:szCs w:val="20"/>
    </w:rPr>
    <w:tblPr>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locked/>
    <w:pPr>
      <w:spacing w:after="0" w:line="240" w:lineRule="auto"/>
    </w:pPr>
    <w:rPr>
      <w:rFonts w:ascii="Times New Roman" w:hAnsi="Times New Roman"/>
      <w:b/>
      <w:bCs/>
      <w:sz w:val="20"/>
      <w:szCs w:val="2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rPr>
  </w:style>
  <w:style w:type="character" w:styleId="PageNumber">
    <w:name w:val="page number"/>
    <w:basedOn w:val="DefaultParagraphFont"/>
    <w:uiPriority w:val="99"/>
    <w:rPr>
      <w:rFonts w:cs="Times New Roman"/>
    </w:rPr>
  </w:style>
  <w:style w:type="paragraph" w:styleId="TOC2">
    <w:name w:val="toc 2"/>
    <w:basedOn w:val="Normal"/>
    <w:next w:val="Normal"/>
    <w:autoRedefine/>
    <w:uiPriority w:val="99"/>
    <w:semiHidden/>
    <w:locked/>
    <w:pPr>
      <w:ind w:left="220"/>
    </w:p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rPr>
  </w:style>
  <w:style w:type="paragraph" w:styleId="PlainText">
    <w:name w:val="Plain Text"/>
    <w:basedOn w:val="Normal"/>
    <w:link w:val="PlainTextChar"/>
    <w:uiPriority w:val="9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locked/>
    <w:rPr>
      <w:rFonts w:ascii="Consolas" w:hAnsi="Consolas" w:cs="Times New Roman"/>
      <w:sz w:val="21"/>
      <w:szCs w:val="21"/>
      <w:lang w:val="en-US" w:eastAsia="en-US" w:bidi="ar-SA"/>
    </w:rPr>
  </w:style>
  <w:style w:type="character" w:styleId="CommentReference">
    <w:name w:val="annotation reference"/>
    <w:basedOn w:val="DefaultParagraphFont"/>
    <w:uiPriority w:val="99"/>
    <w:semiHidden/>
    <w:rPr>
      <w:rFonts w:cs="Times New Roman"/>
      <w:sz w:val="16"/>
      <w:szCs w:val="16"/>
    </w:rPr>
  </w:style>
  <w:style w:type="paragraph" w:styleId="CommentText">
    <w:name w:val="annotation text"/>
    <w:basedOn w:val="Normal"/>
    <w:link w:val="CommentTextChar"/>
    <w:uiPriority w:val="99"/>
    <w:pPr>
      <w:spacing w:after="0" w:line="240" w:lineRule="auto"/>
      <w:ind w:right="432"/>
    </w:pPr>
    <w:rPr>
      <w:sz w:val="20"/>
      <w:szCs w:val="20"/>
    </w:rPr>
  </w:style>
  <w:style w:type="character" w:customStyle="1" w:styleId="CommentTextChar">
    <w:name w:val="Comment Text Char"/>
    <w:basedOn w:val="DefaultParagraphFont"/>
    <w:link w:val="CommentText"/>
    <w:uiPriority w:val="99"/>
    <w:locked/>
    <w:rPr>
      <w:rFonts w:ascii="Calibri" w:hAnsi="Calibri" w:cs="Times New Roman"/>
      <w:lang w:val="en-US" w:eastAsia="en-US" w:bidi="ar-SA"/>
    </w:rPr>
  </w:style>
  <w:style w:type="paragraph" w:styleId="NoSpacing">
    <w:name w:val="No Spacing"/>
    <w:link w:val="NoSpacingChar"/>
    <w:uiPriority w:val="99"/>
    <w:qFormat/>
    <w:pPr>
      <w:jc w:val="both"/>
    </w:pPr>
  </w:style>
  <w:style w:type="character" w:customStyle="1" w:styleId="NoSpacingChar">
    <w:name w:val="No Spacing Char"/>
    <w:basedOn w:val="DefaultParagraphFont"/>
    <w:link w:val="NoSpacing"/>
    <w:uiPriority w:val="99"/>
    <w:locked/>
    <w:rPr>
      <w:rFonts w:cs="Times New Roman"/>
      <w:sz w:val="22"/>
      <w:szCs w:val="22"/>
      <w:lang w:val="en-US" w:eastAsia="en-US" w:bidi="ar-SA"/>
    </w:rPr>
  </w:style>
  <w:style w:type="character" w:styleId="SubtleEmphasis">
    <w:name w:val="Subtle Emphasis"/>
    <w:basedOn w:val="DefaultParagraphFont"/>
    <w:uiPriority w:val="19"/>
    <w:qFormat/>
    <w:rPr>
      <w:i/>
      <w:iCs/>
      <w:color w:val="808080" w:themeColor="text1" w:themeTint="7F"/>
    </w:rPr>
  </w:style>
  <w:style w:type="paragraph" w:styleId="CommentSubject">
    <w:name w:val="annotation subject"/>
    <w:basedOn w:val="CommentText"/>
    <w:next w:val="CommentText"/>
    <w:link w:val="CommentSubjectChar"/>
    <w:uiPriority w:val="99"/>
    <w:semiHidden/>
    <w:unhideWhenUsed/>
    <w:pPr>
      <w:spacing w:after="200"/>
      <w:ind w:right="0"/>
    </w:pPr>
    <w:rPr>
      <w:b/>
      <w:bCs/>
    </w:rPr>
  </w:style>
  <w:style w:type="character" w:customStyle="1" w:styleId="CommentSubjectChar">
    <w:name w:val="Comment Subject Char"/>
    <w:basedOn w:val="CommentTextChar"/>
    <w:link w:val="CommentSubject"/>
    <w:uiPriority w:val="99"/>
    <w:semiHidden/>
    <w:rPr>
      <w:rFonts w:ascii="Calibri" w:hAnsi="Calibri" w:cs="Times New Roman"/>
      <w:b/>
      <w:bCs/>
      <w:sz w:val="20"/>
      <w:szCs w:val="2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956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Target="footer1.xml" Type="http://schemas.openxmlformats.org/officeDocument/2006/relationships/footer" Id="rId8"></Relationship><Relationship Target="styles.xml" Type="http://schemas.openxmlformats.org/officeDocument/2006/relationships/styles" Id="rId3"></Relationship><Relationship Target="endnotes.xml" Type="http://schemas.openxmlformats.org/officeDocument/2006/relationships/endnotes" Id="rId7"></Relationship><Relationship Target="numbering.xml" Type="http://schemas.openxmlformats.org/officeDocument/2006/relationships/numbering" Id="rId2"></Relationship><Relationship Target="../customXml/item1.xml" Type="http://schemas.openxmlformats.org/officeDocument/2006/relationships/customXml" Id="rId1"></Relationship><Relationship Target="footnotes.xml" Type="http://schemas.openxmlformats.org/officeDocument/2006/relationships/footnotes" Id="rId6"></Relationship><Relationship Target="webSettings.xml" Type="http://schemas.openxmlformats.org/officeDocument/2006/relationships/webSettings" Id="rId5"></Relationship><Relationship Target="theme/theme1.xml" Type="http://schemas.openxmlformats.org/officeDocument/2006/relationships/theme" Id="rId10"></Relationship><Relationship Target="settings.xml" Type="http://schemas.openxmlformats.org/officeDocument/2006/relationships/settings" Id="rId4"></Relationship><Relationship Target="fontTable.xml" Type="http://schemas.openxmlformats.org/officeDocument/2006/relationships/fontTable" Id="rId9"></Relationship><Relationship Target="media/document_image_rId11.jpeg" Type="http://schemas.openxmlformats.org/officeDocument/2006/relationships/image" Id="rId11"/><Relationship Target="media/document_image_rId12.jpeg" Type="http://schemas.openxmlformats.org/officeDocument/2006/relationships/image" Id="rId12"/></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Target="itemProps1.xml" Type="http://schemas.openxmlformats.org/officeDocument/2006/relationships/customXmlProps" Id="rId1"></Relationship></Relationships>
</file>

<file path=customXml/item1.xml><?xml version="1.0" encoding="utf-8"?>
<ns30:Sources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fth Edition"/>
</file>

<file path=customXml/itemProps1.xml><?xml version="1.0" encoding="utf-8"?>
<ds:datastoreItem xmlns:ds="http://schemas.openxmlformats.org/officeDocument/2006/customXml" ds:itemID="{1DEDBB00-DB20-4574-8852-955E43709EC0}">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Normal.dotm</properties:Template>
  <properties:Company>Microsoft</properties:Company>
  <properties:Pages>47</properties:Pages>
  <properties:Words>6608</properties:Words>
  <properties:Characters>37672</properties:Characters>
  <properties:Lines>313</properties:Lines>
  <properties:Paragraphs>88</properties:Paragraphs>
  <properties:TotalTime>101</properties:TotalTime>
  <properties:ScaleCrop>false</properties:ScaleCrop>
  <properties:HeadingPairs>
    <vt:vector baseType="variant" size="4">
      <vt:variant>
        <vt:lpstr>Title</vt:lpstr>
      </vt:variant>
      <vt:variant>
        <vt:i4>1</vt:i4>
      </vt:variant>
      <vt:variant>
        <vt:lpstr>Headings</vt:lpstr>
      </vt:variant>
      <vt:variant>
        <vt:i4>18</vt:i4>
      </vt:variant>
    </vt:vector>
  </properties:HeadingPairs>
  <properties:TitlesOfParts>
    <vt:vector baseType="lpstr" size="19">
      <vt:lpstr>Here is some text</vt:lpstr>
      <vt:lpstr>    CR-05 - Goals and Outcomes</vt:lpstr>
      <vt:lpstr>    CR-10 - Racial and Ethnic composition of families assisted</vt:lpstr>
      <vt:lpstr>    CR-15 - Resources and Investments 91.520(a)</vt:lpstr>
      <vt:lpstr>    CR-20 - Affordable Housing 91.520(b)</vt:lpstr>
      <vt:lpstr>    </vt:lpstr>
      <vt:lpstr>    CR-25 - Homeless and Other Special Needs 91.220(d, e); 91.320(d, e); 91.520(c)</vt:lpstr>
      <vt:lpstr>    CR-30 - Public Housing 91.220(h); 91.320(j)</vt:lpstr>
      <vt:lpstr>    CR-35 - Other Actions 91.220(j)-(k); 91.320(i)-(j)</vt:lpstr>
      <vt:lpstr>    CR-40 - Monitoring 91.220 and 91.230</vt:lpstr>
      <vt:lpstr>    CR-45 - CDBG 91.520(c)</vt:lpstr>
      <vt:lpstr>    CR-50 - HOME 24 CFR 91.520(d)</vt:lpstr>
      <vt:lpstr>    CR-55 - HOPWA 91.520(e)</vt:lpstr>
      <vt:lpstr>    CR-56 - HTF 91.520(h)</vt:lpstr>
      <vt:lpstr>    CR-58 – Section 3</vt:lpstr>
      <vt:lpstr>    CR-60 - ESG 91.520(g) (ESG Recipients only)</vt:lpstr>
      <vt:lpstr>    CR-65 - Persons Assisted</vt:lpstr>
      <vt:lpstr>    CR-70 – ESG 91.520(g) - Assistance Provided and Outcomes</vt:lpstr>
      <vt:lpstr>    CR-75 – Expenditures</vt:lpstr>
    </vt:vector>
  </properties:TitlesOfParts>
  <properties:LinksUpToDate>false</properties:LinksUpToDate>
  <properties:CharactersWithSpaces>44192</properties:CharactersWithSpaces>
  <properties:SharedDoc>false</properties:SharedDoc>
  <properties:HyperlinksChanged>false</properties:HyperlinksChanged>
  <properties:Application>docx4j</properties:Application>
  <properties:AppVersion>2.7.1</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2017-06-10T12:58:00Z</dcterms:created>
  <dc:creator>Rocio</dc:creator>
  <cp:lastModifiedBy>docx4j</cp:lastModifiedBy>
  <dcterms:modified xmlns:xsi="http://www.w3.org/2001/XMLSchema-instance" xsi:type="dcterms:W3CDTF">2023-08-17T12:02:00Z</dcterms:modified>
  <cp:revision>26</cp:revision>
  <dc:title>Here is some text</dc:title>
</cp:coreProperties>
</file>