
<file path=[Content_Types].xml><?xml version="1.0" encoding="utf-8"?>
<Types xmlns="http://schemas.openxmlformats.org/package/2006/content-types">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header+xml" PartName="/word/header4.xml"/>
  <Override ContentType="application/vnd.openxmlformats-officedocument.wordprocessingml.header+xml" PartName="/word/header5.xml"/>
  <Override ContentType="application/vnd.openxmlformats-officedocument.wordprocessingml.header+xml" PartName="/word/header6.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Relationships xmlns="http://schemas.openxmlformats.org/package/2006/relationships"><Relationship Target="docProps/app.xml" Type="http://schemas.openxmlformats.org/officeDocument/2006/relationships/extended-properties" Id="rId3"></Relationship><Relationship Target="docProps/core.xml" Type="http://schemas.openxmlformats.org/package/2006/relationships/metadata/core-properties" Id="rId2"></Relationship><Relationship Target="word/document.xml" Type="http://schemas.openxmlformats.org/officeDocument/2006/relationships/officeDocument" Id="rId1"></Relationship></Relationships>
</file>

<file path=word/document.xml><?xml version="1.0" encoding="utf-8"?>
<w:document xmlns:w="http://schemas.openxmlformats.org/wordprocessingml/2006/main" xmlns:w14="http://schemas.microsoft.com/office/word/2010/wordml" xmlns:r="http://schemas.openxmlformats.org/officeDocument/2006/relationships" xmlns:m="http://schemas.openxmlformats.org/officeDocument/2006/math" xmlns:w15="http://schemas.microsoft.com/office/word/2012/wordml" xmlns:ns27="http://schemas.openxmlformats.org/schemaLibrary/2006/main" xmlns:mc="http://schemas.openxmlformats.org/markup-compatibility/2006" xmlns:wp="http://schemas.openxmlformats.org/drawingml/2006/wordprocessingDrawing" xmlns:a="http://schemas.openxmlformats.org/drawingml/2006/main" mc:Ignorable="w14 w15">
  <w:body>
    <w:p w14:paraId="6be96bed" w14:textId="6be96bed">
      <w:pPr>
        <w15:collapsed w:val="false"/>
      </w:pPr>
    </w:p>
    <w:p>
      <w:pPr>
        <w:rPr>
          <w:rFonts w:cs="Arial"/>
        </w:rPr>
      </w:pPr>
      <w:r>
        <w:rPr>
          <w:rFonts w:cs="Arial"/>
        </w:rPr>
      </w:r>
    </w:p>
    <w:p>
      <w:pPr>
        <w:pStyle w:val="Heading1"/>
        <w:jc w:val="center"/>
        <w:rPr>
          <w:rFonts w:ascii="Calibri" w:hAnsi="Calibri"/>
          <w:color w:val="auto"/>
          <w:sz w:val="32"/>
          <w:szCs w:val="32"/>
        </w:rPr>
      </w:pPr>
      <w:r>
        <w:rPr>
          <w:rFonts w:ascii="Calibri" w:hAnsi="Calibri"/>
          <w:color w:val="auto"/>
          <w:sz w:val="32"/>
          <w:szCs w:val="32"/>
        </w:rPr>
        <w:t xml:space="preserve">Executive Summary </w:t>
      </w:r>
    </w:p>
    <w:p>
      <w:pPr>
        <w:pStyle w:val="Heading2"/>
        <w:rPr>
          <w:rFonts w:ascii="Calibri" w:hAnsi="Calibri"/>
          <w:i w:val="false"/>
        </w:rPr>
      </w:pPr>
      <w:r>
        <w:rPr>
          <w:rFonts w:ascii="Calibri" w:hAnsi="Calibri"/>
          <w:i w:val="false"/>
        </w:rPr>
        <w:t>AP-05 Executive Summary - 24 CFR 91.200(c), 91.220(b)</w:t>
      </w:r>
    </w:p>
    <w:p>
      <w:pPr>
        <w:rPr>
          <w:b/>
          <w:sz w:val="24"/>
          <w:szCs w:val="24"/>
        </w:rPr>
      </w:pPr>
      <w:r>
        <w:rPr>
          <w:b/>
          <w:sz w:val="24"/>
          <w:szCs w:val="24"/>
        </w:rPr>
        <w:t>1.</w:t>
        <w:tab/>
        <w:t>Introduction</w:t>
      </w:r>
    </w:p>
    <w:p>
      <w:pPr>
        <w:rPr>
          <w:b/>
          <w:sz w:val="24"/>
          <w:szCs w:val="24"/>
        </w:rPr>
      </w:pPr>
      <w:r>
        <w:rPr>
          <w:b/>
          <w:sz w:val="24"/>
          <w:szCs w:val="24"/>
        </w:rPr>
        <w:t>2.</w:t>
        <w:tab/>
        <w:t xml:space="preserve">Summarize the objectives and outcomes identified in the Plan  </w:t>
      </w:r>
    </w:p>
    <w:p>
      <w:pPr>
        <w:rPr>
          <w:b/>
          <w:sz w:val="24"/>
          <w:szCs w:val="24"/>
        </w:rPr>
      </w:pPr>
      <w:r>
        <w:rPr>
          <w:sz w:val="24"/>
          <w:szCs w:val="24"/>
        </w:rPr>
        <w:t>This could be a restatement of items or a table listed elsewhere in the plan or a reference to another location.</w:t>
      </w:r>
      <w:r>
        <w:t xml:space="preserve"> </w:t>
      </w:r>
      <w:r>
        <w:rPr>
          <w:sz w:val="24"/>
          <w:szCs w:val="24"/>
        </w:rPr>
        <w:t>It may also contain any essential items from the housing and homeless needs assessment, the housing market analysis or the strategic plan.</w:t>
      </w:r>
    </w:p>
    <w:p>
      <w:pPr>
        <w:rPr>
          <w:b/>
          <w:sz w:val="24"/>
          <w:szCs w:val="24"/>
        </w:rPr>
      </w:pPr>
      <w:r>
        <w:rPr>
          <w:b/>
          <w:sz w:val="24"/>
          <w:szCs w:val="24"/>
        </w:rPr>
        <w:t>3.</w:t>
        <w:tab/>
        <w:t xml:space="preserve">Evaluation of past performance </w:t>
      </w:r>
    </w:p>
    <w:p>
      <w:pPr>
        <w:rPr>
          <w:b/>
          <w:sz w:val="24"/>
          <w:szCs w:val="24"/>
        </w:rPr>
      </w:pPr>
      <w:r>
        <w:rPr>
          <w:sz w:val="24"/>
          <w:szCs w:val="24"/>
        </w:rPr>
        <w:t>This is an evaluation of past performance that helped lead the grantee to choose its goals or projects.</w:t>
      </w:r>
    </w:p>
    <w:p>
      <w:pPr>
        <w:rPr>
          <w:b/>
          <w:sz w:val="24"/>
          <w:szCs w:val="24"/>
        </w:rPr>
      </w:pPr>
      <w:r>
        <w:rPr>
          <w:b/>
          <w:sz w:val="24"/>
          <w:szCs w:val="24"/>
        </w:rPr>
        <w:t>4.</w:t>
        <w:tab/>
        <w:t xml:space="preserve">Summary of Citizen Participation Process and consultation process </w:t>
      </w:r>
    </w:p>
    <w:p>
      <w:pPr>
        <w:rPr>
          <w:b/>
          <w:sz w:val="24"/>
          <w:szCs w:val="24"/>
        </w:rPr>
      </w:pPr>
      <w:r>
        <w:rPr>
          <w:sz w:val="24"/>
          <w:szCs w:val="24"/>
        </w:rPr>
        <w:t>Summary from citizen participation section of plan.</w:t>
      </w:r>
    </w:p>
    <w:p>
      <w:pPr>
        <w:rPr>
          <w:b/>
          <w:sz w:val="24"/>
          <w:szCs w:val="24"/>
        </w:rPr>
      </w:pPr>
      <w:r>
        <w:rPr>
          <w:b/>
          <w:sz w:val="24"/>
          <w:szCs w:val="24"/>
        </w:rPr>
        <w:t>5.</w:t>
        <w:tab/>
        <w:t>Summary of public comments</w:t>
      </w:r>
    </w:p>
    <w:p>
      <w:pPr>
        <w:rPr>
          <w:sz w:val="24"/>
          <w:szCs w:val="24"/>
        </w:rPr>
      </w:pPr>
      <w:r>
        <w:rPr>
          <w:sz w:val="24"/>
          <w:szCs w:val="24"/>
        </w:rPr>
        <w:t>This could be a brief narrative summary or reference an attached document from the Citizen Participation section of the Con Plan.</w:t>
      </w:r>
    </w:p>
    <w:p>
      <w:pPr>
        <w:rPr>
          <w:b/>
          <w:sz w:val="24"/>
          <w:szCs w:val="24"/>
        </w:rPr>
      </w:pPr>
      <w:r>
        <w:rPr>
          <w:b/>
          <w:sz w:val="24"/>
          <w:szCs w:val="24"/>
        </w:rPr>
        <w:t>6.</w:t>
        <w:tab/>
        <w:t>Summary of comments or views not accepted and the reasons for not accepting them</w:t>
      </w:r>
    </w:p>
    <w:p>
      <w:pPr>
        <w:rPr>
          <w:b/>
          <w:sz w:val="24"/>
          <w:szCs w:val="24"/>
        </w:rPr>
      </w:pPr>
      <w:r>
        <w:rPr>
          <w:b/>
          <w:sz w:val="24"/>
          <w:szCs w:val="24"/>
        </w:rPr>
        <w:t>7.</w:t>
        <w:tab/>
        <w:t>Summary</w:t>
      </w:r>
    </w:p>
    <w:p>
      <w:pPr>
        <w:pStyle w:val="Heading2"/>
        <w:pageBreakBefore/>
        <w:rPr>
          <w:rFonts w:ascii="Calibri" w:hAnsi="Calibri"/>
          <w:i w:val="false"/>
        </w:rPr>
        <w:sectPr>
          <w:headerReference r:id="rId8" w:type="even"/>
          <w:headerReference r:id="rId9" w:type="default"/>
          <w:footerReference r:id="rId10" w:type="even"/>
          <w:footerReference r:id="rId11" w:type="default"/>
          <w:headerReference r:id="rId12" w:type="first"/>
          <w:footerReference r:id="rId13" w:type="first"/>
          <w:pgSz w:w="12240" w:h="15840"/>
          <w:pgMar w:top="1440" w:right="1440" w:bottom="1440" w:left="1440" w:header="720" w:footer="720" w:gutter="0"/>
          <w:cols w:space="720"/>
          <w:docGrid w:linePitch="360"/>
        </w:sectPr>
      </w:pPr>
    </w:p>
    <w:p>
      <w:pPr>
        <w:pStyle w:val="Heading2"/>
        <w:pageBreakBefore/>
        <w:rPr>
          <w:rFonts w:ascii="Calibri" w:hAnsi="Calibri"/>
          <w:i w:val="false"/>
        </w:rPr>
      </w:pPr>
      <w:r>
        <w:rPr>
          <w:rFonts w:ascii="Calibri" w:hAnsi="Calibri"/>
          <w:i w:val="false"/>
        </w:rPr>
        <w:t>PR-05 Lead &amp; Responsible Agencies – 91.200(b)</w:t>
      </w:r>
    </w:p>
    <w:p>
      <w:pPr>
        <w:keepNext/>
        <w:rPr>
          <w:b/>
          <w:sz w:val="24"/>
          <w:szCs w:val="24"/>
        </w:rPr>
      </w:pPr>
      <w:r>
        <w:rPr>
          <w:b/>
          <w:sz w:val="24"/>
          <w:szCs w:val="24"/>
        </w:rPr>
        <w:t>1.</w:t>
        <w:tab/>
        <w:t>Agency/entity responsible for preparing/administering the Consolidated Plan</w:t>
      </w:r>
    </w:p>
    <w:p>
      <w:pPr>
        <w:keepNext/>
        <w:rPr>
          <w:sz w:val="24"/>
          <w:szCs w:val="24"/>
        </w:rPr>
      </w:pPr>
      <w:r>
        <w:rPr>
          <w:sz w:val="24"/>
          <w:szCs w:val="24"/>
        </w:rPr>
        <w:t>Describe the agency/entity responsible for preparing the Consolidated Plan and those responsible for administration of each grant program and funding source.</w:t>
      </w:r>
    </w:p>
    <w:tbl>
      <w:tblPr>
        <w:tblW w:w="5000"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firstRow="1" w:lastRow="1" w:firstColumn="1" w:lastColumn="1" w:noHBand="0" w:noVBand="0" w:val="01E0"/>
      </w:tblPr>
      <w:tblGrid>
        <w:gridCol w:w="4392"/>
        <w:gridCol w:w="4392"/>
        <w:gridCol w:w="4392"/>
      </w:tblGrid>
      <w:tr>
        <w:trPr>
          <w:cantSplit/>
          <w:tblHeader/>
        </w:trPr>
        <w:tc>
          <w:tcPr>
            <w:tcW w:w="3192" w:type="dxa"/>
          </w:tcPr>
          <w:p>
            <w:pPr>
              <w:keepNext/>
              <w:widowControl w:val="false"/>
              <w:spacing w:after="0" w:line="240" w:lineRule="auto"/>
              <w:jc w:val="center"/>
              <w:rPr>
                <w:b/>
                <w:bCs/>
              </w:rPr>
            </w:pPr>
            <w:r>
              <w:rPr>
                <w:b/>
                <w:bCs/>
              </w:rPr>
              <w:t>Agency Role</w:t>
            </w:r>
          </w:p>
        </w:tc>
        <w:tc>
          <w:tcPr>
            <w:tcW w:w="3192" w:type="dxa"/>
          </w:tcPr>
          <w:p>
            <w:pPr>
              <w:keepNext/>
              <w:widowControl w:val="false"/>
              <w:spacing w:after="0" w:line="240" w:lineRule="auto"/>
              <w:jc w:val="center"/>
              <w:rPr>
                <w:b/>
                <w:bCs/>
              </w:rPr>
            </w:pPr>
            <w:r>
              <w:rPr>
                <w:b/>
                <w:bCs/>
              </w:rPr>
              <w:t>Name</w:t>
            </w:r>
          </w:p>
        </w:tc>
        <w:tc>
          <w:tcPr>
            <w:tcW w:w="3192" w:type="dxa"/>
          </w:tcPr>
          <w:p>
            <w:pPr>
              <w:keepNext/>
              <w:widowControl w:val="false"/>
              <w:spacing w:after="0" w:line="240" w:lineRule="auto"/>
              <w:jc w:val="center"/>
              <w:rPr>
                <w:b/>
                <w:bCs/>
              </w:rPr>
            </w:pPr>
            <w:r>
              <w:rPr>
                <w:b/>
                <w:bCs/>
              </w:rPr>
              <w:t>Department/Agency</w:t>
            </w:r>
          </w:p>
        </w:tc>
      </w:tr>
      <w:tr>
        <w:trPr>
          <w:cantSplit/>
          <w:tblHeader/>
        </w:trPr>
        <w:tc>
          <w:tcPr>
            <w:tcW w:w="3192" w:type="dxa"/>
          </w:tcPr>
          <w:p>
            <w:pPr>
              <w:keepNext/>
              <w:widowControl w:val="false"/>
              <w:spacing w:after="0" w:line="240" w:lineRule="auto"/>
              <w:rPr>
                <w:bCs/>
              </w:rPr>
            </w:pPr>
          </w:p>
        </w:tc>
        <w:tc>
          <w:tcPr>
            <w:tcW w:w="3192" w:type="dxa"/>
          </w:tcPr>
          <w:p>
            <w:pPr>
              <w:keepNext/>
              <w:widowControl w:val="false"/>
              <w:spacing w:after="0" w:line="240" w:lineRule="auto"/>
              <w:rPr>
                <w:bCs/>
              </w:rPr>
            </w:pPr>
          </w:p>
        </w:tc>
        <w:tc>
          <w:tcPr>
            <w:tcW w:w="3192" w:type="dxa"/>
          </w:tcPr>
          <w:p>
            <w:pPr>
              <w:keepNext/>
              <w:widowControl w:val="false"/>
              <w:spacing w:after="0" w:line="240" w:lineRule="auto"/>
              <w:rPr>
                <w:bCs/>
              </w:rPr>
            </w:pPr>
          </w:p>
        </w:tc>
      </w:tr>
    </w:tbl>
    <w:p>
      <w:pPr>
        <w:spacing w:after="0" w:line="240" w:lineRule="auto"/>
        <w:rPr>
          <w:b/>
          <w:vanish/>
          <w:sz w:val="24"/>
          <w:szCs w:val="24"/>
        </w:rPr>
      </w:pPr>
    </w:p>
    <w:tbl>
      <w:tblPr>
        <w:tblW w:w="5000"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firstRow="1" w:lastRow="1" w:firstColumn="1" w:lastColumn="1" w:noHBand="0" w:noVBand="0" w:val="01E0"/>
      </w:tblPr>
      <w:tblGrid>
        <w:gridCol w:w="4392"/>
        <w:gridCol w:w="4392"/>
        <w:gridCol w:w="4392"/>
      </w:tblGrid>
      <w:tr>
        <w:trPr>
          <w:cantSplit/>
          <w:tblHeader/>
          <w:hidden/>
        </w:trPr>
        <w:tc>
          <w:tcPr>
            <w:tcW w:w="3192" w:type="dxa"/>
          </w:tcPr>
          <w:p>
            <w:pPr>
              <w:keepNext/>
              <w:widowControl w:val="false"/>
              <w:spacing w:after="0" w:line="240" w:lineRule="auto"/>
              <w:jc w:val="center"/>
              <w:rPr>
                <w:b/>
                <w:bCs/>
                <w:vanish/>
              </w:rPr>
            </w:pPr>
          </w:p>
        </w:tc>
        <w:tc>
          <w:tcPr>
            <w:tcW w:w="3192" w:type="dxa"/>
          </w:tcPr>
          <w:p>
            <w:pPr>
              <w:keepNext/>
              <w:widowControl w:val="false"/>
              <w:spacing w:after="0" w:line="240" w:lineRule="auto"/>
              <w:jc w:val="center"/>
              <w:rPr>
                <w:b/>
                <w:bCs/>
                <w:vanish/>
              </w:rPr>
            </w:pPr>
          </w:p>
        </w:tc>
        <w:tc>
          <w:tcPr>
            <w:tcW w:w="3192" w:type="dxa"/>
          </w:tcPr>
          <w:p>
            <w:pPr>
              <w:keepNext/>
              <w:widowControl w:val="false"/>
              <w:spacing w:after="0" w:line="240" w:lineRule="auto"/>
              <w:jc w:val="center"/>
              <w:rPr>
                <w:b/>
                <w:bCs/>
                <w:vanish/>
              </w:rPr>
            </w:pPr>
          </w:p>
        </w:tc>
      </w:tr>
      <w:tr>
        <w:trPr>
          <w:cantSplit w:val="true"/>
        </w:trPr>
        <w:tc>
          <w:tcPr>
            <w:vAlign w:val="top"/>
          </w:tcPr>
          <w:p>
            <w:pPr>
              <w:spacing w:beforeAutospacing="true" w:afterAutospacing="true"/>
              <w:jc w:val="left"/>
            </w:pPr>
            <w:r>
              <w:rPr>
                <w:rFonts w:ascii="Calibri" w:hAnsi="Calibri"/>
                <w:color w:val="000000"/>
                <w:sz w:val="22"/>
              </w:rPr>
              <w:t xml:space="preserve">CDBG Administrator</w:t>
            </w:r>
          </w:p>
        </w:tc>
        <w:tc>
          <w:tcPr>
            <w:vAlign w:val="top"/>
          </w:tcPr>
          <w:p>
            <w:pPr>
              <w:spacing w:beforeAutospacing="true" w:afterAutospacing="true"/>
              <w:jc w:val="left"/>
            </w:pPr>
            <w:r>
              <w:rPr>
                <w:rFonts w:ascii="Calibri" w:hAnsi="Calibri"/>
                <w:color w:val="000000"/>
                <w:sz w:val="22"/>
              </w:rPr>
              <w:t xml:space="preserve">ORANGE</w:t>
            </w:r>
          </w:p>
        </w:tc>
        <w:tc>
          <w:tcPr>
            <w:vAlign w:val="top"/>
          </w:tcPr>
          <w:p>
            <w:pPr>
              <w:spacing w:beforeAutospacing="true" w:afterAutospacing="true"/>
              <w:jc w:val="left"/>
            </w:pPr>
            <w:r>
              <w:rPr>
                <w:rFonts w:ascii="Calibri" w:hAnsi="Calibri"/>
                <w:color w:val="000000"/>
                <w:sz w:val="22"/>
              </w:rPr>
              <w:t xml:space="preserve">Community Development Department</w:t>
            </w:r>
          </w:p>
        </w:tc>
      </w:tr>
      <w:tr>
        <w:trPr>
          <w:cantSplit w:val="true"/>
        </w:trPr>
        <w:tc>
          <w:tcPr>
            <w:vAlign w:val="top"/>
          </w:tcPr>
          <w:p>
            <w:pPr>
              <w:spacing w:beforeAutospacing="true" w:afterAutospacing="true"/>
              <w:jc w:val="left"/>
            </w:pPr>
            <w:r>
              <w:rPr>
                <w:rFonts w:ascii="Calibri" w:hAnsi="Calibri"/>
                <w:color w:val="000000"/>
                <w:sz w:val="22"/>
              </w:rPr>
              <w:t xml:space="preserve">HOME Administrator</w:t>
            </w:r>
          </w:p>
        </w:tc>
        <w:tc>
          <w:tcPr>
            <w:vAlign w:val="top"/>
          </w:tcPr>
          <w:p>
            <w:pPr>
              <w:spacing w:beforeAutospacing="true" w:afterAutospacing="true"/>
              <w:jc w:val="left"/>
            </w:pPr>
            <w:r>
              <w:rPr>
                <w:rFonts w:ascii="Calibri" w:hAnsi="Calibri"/>
                <w:color w:val="000000"/>
                <w:sz w:val="22"/>
              </w:rPr>
              <w:t xml:space="preserve">ORANGE</w:t>
            </w:r>
          </w:p>
        </w:tc>
        <w:tc>
          <w:tcPr>
            <w:vAlign w:val="top"/>
          </w:tcPr>
          <w:p>
            <w:pPr>
              <w:spacing w:beforeAutospacing="true" w:afterAutospacing="true"/>
              <w:jc w:val="left"/>
            </w:pPr>
            <w:r>
              <w:rPr>
                <w:rFonts w:ascii="Calibri" w:hAnsi="Calibri"/>
                <w:color w:val="000000"/>
                <w:sz w:val="22"/>
              </w:rPr>
              <w:t xml:space="preserve">Community Development Department</w:t>
            </w:r>
          </w:p>
        </w:tc>
      </w:tr>
    </w:tbl>
    <w:p>
      <w:pPr>
        <w:pStyle w:val="Caption"/>
        <w:jc w:val="center"/>
        <w:rPr>
          <w:rFonts w:asciiTheme="minorHAnsi" w:hAnsiTheme="minorHAnsi"/>
        </w:rPr>
      </w:pPr>
      <w:r>
        <w:rPr>
          <w:rFonts w:asciiTheme="minorHAnsi" w:hAnsiTheme="minorHAnsi"/>
        </w:rPr>
        <w:t xml:space="preserve">Table </w:t>
        <w:fldChar w:fldCharType="begin"/>
        <w:instrText xml:space="preserve"> SEQ Table \* ARABIC </w:instrText>
        <w:fldChar w:fldCharType="separate"/>
        <w:t>1</w:t>
        <w:fldChar w:fldCharType="end"/>
        <w:t xml:space="preserve"> – Responsible Agencies</w:t>
      </w:r>
    </w:p>
    <w:p>
      <w:pPr>
        <w:spacing w:after="0" w:line="240" w:lineRule="auto"/>
        <w:rPr>
          <w:b/>
          <w:sz w:val="24"/>
          <w:szCs w:val="24"/>
        </w:rPr>
      </w:pPr>
    </w:p>
    <w:p>
      <w:pPr>
        <w:rPr>
          <w:b/>
          <w:sz w:val="24"/>
          <w:szCs w:val="24"/>
        </w:rPr>
      </w:pPr>
      <w:r>
        <w:rPr>
          <w:b/>
          <w:sz w:val="24"/>
          <w:szCs w:val="24"/>
        </w:rPr>
        <w:t>Narrative (optional)</w:t>
      </w:r>
    </w:p>
    <w:p>
      <w:pPr>
        <w:rPr>
          <w:b/>
          <w:sz w:val="24"/>
          <w:szCs w:val="24"/>
        </w:rPr>
      </w:pPr>
      <w:r>
        <w:rPr>
          <w:b/>
          <w:sz w:val="24"/>
          <w:szCs w:val="24"/>
        </w:rPr>
        <w:t>Consolidated Plan Public Contact Information</w:t>
      </w:r>
    </w:p>
    <w:p>
      <w:pPr>
        <w:pStyle w:val="Heading2"/>
        <w:keepNext w:val="false"/>
        <w:pageBreakBefore/>
        <w:widowControl w:val="false"/>
        <w:rPr>
          <w:rFonts w:ascii="Calibri" w:hAnsi="Calibri"/>
          <w:i w:val="false"/>
        </w:rPr>
        <w:sectPr>
          <w:pgSz w:w="15840" w:h="12240" w:orient="landscape"/>
          <w:pgMar w:top="1440" w:right="1440" w:bottom="1440" w:left="1440" w:header="720" w:footer="720" w:gutter="0"/>
          <w:cols w:space="720"/>
          <w:docGrid w:linePitch="360"/>
        </w:sectPr>
      </w:pPr>
    </w:p>
    <w:p>
      <w:pPr>
        <w:pStyle w:val="Heading2"/>
        <w:keepNext w:val="false"/>
        <w:pageBreakBefore/>
        <w:widowControl w:val="false"/>
        <w:rPr>
          <w:rFonts w:ascii="Calibri" w:hAnsi="Calibri"/>
          <w:i w:val="false"/>
        </w:rPr>
      </w:pPr>
      <w:r>
        <w:rPr>
          <w:rFonts w:ascii="Calibri" w:hAnsi="Calibri"/>
          <w:i w:val="false"/>
        </w:rPr>
        <w:t>AP-10 Consultation – 91.100, 91.200(b), 91.215(l)</w:t>
      </w:r>
    </w:p>
    <w:p>
      <w:pPr>
        <w:rPr>
          <w:b/>
          <w:sz w:val="24"/>
          <w:szCs w:val="24"/>
        </w:rPr>
      </w:pPr>
      <w:r>
        <w:rPr>
          <w:b/>
          <w:sz w:val="24"/>
          <w:szCs w:val="24"/>
        </w:rPr>
        <w:t>1.</w:t>
        <w:tab/>
        <w:t>Introduction</w:t>
      </w:r>
    </w:p>
    <w:p>
      <w:pPr>
        <w:rPr>
          <w:b/>
          <w:sz w:val="24"/>
          <w:szCs w:val="24"/>
        </w:rPr>
      </w:pPr>
      <w:r>
        <w:rPr>
          <w:b/>
          <w:sz w:val="24"/>
          <w:szCs w:val="24"/>
        </w:rPr>
        <w:t>Provide a concise summary of the jurisdiction’s activities to enhance coordination between public and assisted housing providers and private and governmental health, mental health and service agencies (91.215(l))</w:t>
      </w:r>
    </w:p>
    <w:p>
      <w:pPr>
        <w:rPr>
          <w:b/>
          <w:sz w:val="24"/>
          <w:szCs w:val="24"/>
        </w:rPr>
      </w:pPr>
      <w:r>
        <w:rPr>
          <w:b/>
          <w:sz w:val="24"/>
          <w:szCs w:val="24"/>
        </w:rPr>
        <w:t>Describe coordination with the Continuum of Care and efforts to address the needs of homeless persons (particularly chronically homeless individuals and families, families with children, veterans, and unaccompanied youth) and persons at risk of homelessness.</w:t>
      </w:r>
    </w:p>
    <w:p>
      <w:pPr>
        <w:rPr>
          <w:b/>
          <w:sz w:val="24"/>
          <w:szCs w:val="24"/>
        </w:rPr>
      </w:pPr>
      <w:r>
        <w:rPr>
          <w:b/>
          <w:sz w:val="24"/>
          <w:szCs w:val="24"/>
        </w:rPr>
        <w:t>Describe consultation with the Continuum(s) of Care that serves the jurisdiction's area in determining how to allocate ESG funds, develop performance standards for and evaluate outcomes of projects and activities assisted by ESG funds, and develop funding, policies and procedures for the operation and administration of HMIS</w:t>
      </w:r>
    </w:p>
    <w:p>
      <w:pPr>
        <w:rPr>
          <w:b/>
          <w:sz w:val="24"/>
          <w:szCs w:val="24"/>
        </w:rPr>
      </w:pPr>
      <w:r>
        <w:rPr>
          <w:b/>
          <w:sz w:val="24"/>
          <w:szCs w:val="24"/>
        </w:rPr>
        <w:t>2.</w:t>
        <w:tab/>
        <w:t>Describe Agencies, groups, organizations and others who participated in the process and describe the jurisdiction’s consultations with housing, social service agencies and other entities</w:t>
      </w:r>
    </w:p>
    <w:p>
      <w:pPr>
        <w:keepNext/>
        <w:widowControl w:val="false"/>
        <w:spacing w:after="0" w:line="240" w:lineRule="auto"/>
        <w:rPr>
          <w:b/>
          <w:bCs/>
        </w:rPr>
        <w:sectPr>
          <w:pgSz w:w="12240" w:h="15840"/>
          <w:pgMar w:top="1440" w:right="1440" w:bottom="1440" w:left="1440" w:header="720" w:footer="720" w:gutter="0"/>
          <w:cols w:space="720"/>
          <w:docGrid w:linePitch="360"/>
        </w:sectPr>
      </w:pPr>
    </w:p>
    <w:p>
      <w:pPr>
        <w:pStyle w:val="Caption"/>
        <w:rPr>
          <w:rFonts w:asciiTheme="minorHAnsi" w:hAnsiTheme="minorHAnsi"/>
        </w:rPr>
      </w:pPr>
      <w:r>
        <w:rPr>
          <w:rFonts w:asciiTheme="minorHAnsi" w:hAnsiTheme="minorHAnsi"/>
        </w:rPr>
        <w:t xml:space="preserve">Table </w:t>
        <w:fldChar w:fldCharType="begin"/>
        <w:instrText xml:space="preserve"> SEQ Table \* ARABIC </w:instrText>
        <w:fldChar w:fldCharType="separate"/>
        <w:t>2</w:t>
        <w:fldChar w:fldCharType="end"/>
        <w:t xml:space="preserve"> – Agencies, groups, organizations who participated</w:t>
      </w:r>
    </w:p>
    <w:p/>
    <w:p>
      <w:pPr>
        <w:rPr>
          <w:b/>
          <w:sz w:val="24"/>
          <w:szCs w:val="24"/>
        </w:rPr>
      </w:pPr>
      <w:r>
        <w:rPr>
          <w:b/>
          <w:sz w:val="24"/>
          <w:szCs w:val="24"/>
        </w:rPr>
        <w:t>Identify any Agency Types not consulted and provide rationale for not consulting</w:t>
      </w:r>
    </w:p>
    <w:p>
      <w:pPr>
        <w:rPr>
          <w:rFonts w:cs="Arial"/>
        </w:rPr>
      </w:pPr>
    </w:p>
    <w:p>
      <w:pPr>
        <w:keepNext/>
        <w:rPr>
          <w:b/>
          <w:sz w:val="24"/>
          <w:szCs w:val="24"/>
        </w:rPr>
      </w:pPr>
      <w:r>
        <w:rPr>
          <w:b/>
          <w:sz w:val="24"/>
          <w:szCs w:val="24"/>
        </w:rPr>
        <w:t>Other local/regional/state/federal planning efforts considered when preparing the Plan</w:t>
      </w:r>
    </w:p>
    <w:tbl>
      <w:tblPr>
        <w:tblW w:w="5000"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firstRow="1" w:lastRow="1" w:firstColumn="1" w:lastColumn="1" w:noHBand="0" w:noVBand="0" w:val="01E0"/>
      </w:tblPr>
      <w:tblGrid>
        <w:gridCol w:w="4392"/>
        <w:gridCol w:w="4392"/>
        <w:gridCol w:w="4392"/>
      </w:tblGrid>
      <w:tr>
        <w:trPr>
          <w:cantSplit/>
          <w:tblHeader/>
        </w:trPr>
        <w:tc>
          <w:tcPr>
            <w:tcW w:w="3192" w:type="dxa"/>
          </w:tcPr>
          <w:p>
            <w:pPr>
              <w:keepNext/>
              <w:widowControl w:val="false"/>
              <w:spacing w:after="0" w:line="240" w:lineRule="auto"/>
              <w:jc w:val="center"/>
              <w:rPr>
                <w:b/>
                <w:bCs/>
              </w:rPr>
            </w:pPr>
            <w:r>
              <w:rPr>
                <w:b/>
                <w:bCs/>
              </w:rPr>
              <w:t>Name of Plan</w:t>
            </w:r>
          </w:p>
        </w:tc>
        <w:tc>
          <w:tcPr>
            <w:tcW w:w="3192" w:type="dxa"/>
          </w:tcPr>
          <w:p>
            <w:pPr>
              <w:spacing w:after="0" w:line="240" w:lineRule="auto"/>
              <w:jc w:val="center"/>
              <w:rPr>
                <w:b/>
                <w:bCs/>
              </w:rPr>
            </w:pPr>
            <w:r>
              <w:rPr>
                <w:b/>
                <w:bCs/>
              </w:rPr>
              <w:t>Lead Organization</w:t>
            </w:r>
          </w:p>
        </w:tc>
        <w:tc>
          <w:tcPr>
            <w:tcW w:w="3192" w:type="dxa"/>
          </w:tcPr>
          <w:p>
            <w:pPr>
              <w:keepNext/>
              <w:widowControl w:val="false"/>
              <w:spacing w:after="0" w:line="240" w:lineRule="auto"/>
              <w:jc w:val="center"/>
              <w:rPr>
                <w:b/>
                <w:bCs/>
              </w:rPr>
            </w:pPr>
            <w:r>
              <w:rPr>
                <w:b/>
                <w:bCs/>
              </w:rPr>
              <w:t>How do the goals of your Strategic Plan overlap with the goals of each plan?</w:t>
            </w:r>
          </w:p>
        </w:tc>
      </w:tr>
      <w:tr>
        <w:trPr>
          <w:cantSplit/>
          <w:tblHeader/>
        </w:trPr>
        <w:tc>
          <w:tcPr>
            <w:tcW w:w="3192" w:type="dxa"/>
          </w:tcPr>
          <w:p>
            <w:pPr>
              <w:keepNext/>
              <w:widowControl w:val="false"/>
              <w:spacing w:after="0" w:line="240" w:lineRule="auto"/>
              <w:rPr>
                <w:bCs/>
              </w:rPr>
            </w:pPr>
          </w:p>
        </w:tc>
        <w:tc>
          <w:tcPr>
            <w:tcW w:w="3192" w:type="dxa"/>
          </w:tcPr>
          <w:p>
            <w:pPr>
              <w:keepNext/>
              <w:widowControl w:val="false"/>
              <w:spacing w:after="0" w:line="240" w:lineRule="auto"/>
              <w:rPr>
                <w:bCs/>
              </w:rPr>
            </w:pPr>
          </w:p>
        </w:tc>
        <w:tc>
          <w:tcPr>
            <w:tcW w:w="3192" w:type="dxa"/>
          </w:tcPr>
          <w:p>
            <w:pPr>
              <w:keepNext/>
              <w:widowControl w:val="false"/>
              <w:spacing w:after="0" w:line="240" w:lineRule="auto"/>
              <w:rPr>
                <w:bCs/>
              </w:rPr>
            </w:pPr>
          </w:p>
        </w:tc>
      </w:tr>
    </w:tbl>
    <w:p>
      <w:pPr>
        <w:pStyle w:val="Caption"/>
        <w:jc w:val="center"/>
        <w:rPr>
          <w:rFonts w:asciiTheme="minorHAnsi" w:hAnsiTheme="minorHAnsi"/>
        </w:rPr>
      </w:pPr>
      <w:r>
        <w:rPr>
          <w:rFonts w:asciiTheme="minorHAnsi" w:hAnsiTheme="minorHAnsi"/>
        </w:rPr>
        <w:t xml:space="preserve">Table </w:t>
        <w:fldChar w:fldCharType="begin"/>
        <w:instrText xml:space="preserve"> SEQ Table \* ARABIC </w:instrText>
        <w:fldChar w:fldCharType="separate"/>
        <w:t>3</w:t>
        <w:fldChar w:fldCharType="end"/>
        <w:t xml:space="preserve"> – Other local / regional / federal planning efforts</w:t>
      </w:r>
    </w:p>
    <w:p/>
    <w:p>
      <w:pPr>
        <w:rPr>
          <w:b/>
          <w:sz w:val="24"/>
          <w:szCs w:val="24"/>
        </w:rPr>
      </w:pPr>
      <w:r>
        <w:rPr>
          <w:b/>
          <w:sz w:val="24"/>
          <w:szCs w:val="24"/>
        </w:rPr>
        <w:t>Narrative (optional)</w:t>
      </w:r>
    </w:p>
    <w:p>
      <w:pPr>
        <w:rPr>
          <w:rFonts w:cs="Arial"/>
        </w:rPr>
        <w:sectPr>
          <w:pgSz w:w="15840" w:h="12240" w:orient="landscape"/>
          <w:pgMar w:top="1440" w:right="1440" w:bottom="1440" w:left="1440" w:header="720" w:footer="720" w:gutter="0"/>
          <w:cols w:space="720"/>
          <w:docGrid w:linePitch="360"/>
        </w:sectPr>
      </w:pPr>
    </w:p>
    <w:p>
      <w:pPr>
        <w:pStyle w:val="Heading2"/>
        <w:keepNext w:val="false"/>
        <w:pageBreakBefore/>
        <w:widowControl w:val="false"/>
        <w:rPr>
          <w:rFonts w:ascii="Calibri" w:hAnsi="Calibri"/>
          <w:i w:val="false"/>
        </w:rPr>
      </w:pPr>
      <w:r>
        <w:rPr>
          <w:rFonts w:ascii="Calibri" w:hAnsi="Calibri"/>
          <w:i w:val="false"/>
        </w:rPr>
        <w:t>AP-12 Participation – 91.105, 91.200(c)</w:t>
      </w:r>
    </w:p>
    <w:p>
      <w:pPr>
        <w:spacing w:after="0" w:line="240" w:lineRule="auto"/>
        <w:rPr>
          <w:b/>
          <w:sz w:val="24"/>
          <w:szCs w:val="24"/>
        </w:rPr>
      </w:pPr>
      <w:r>
        <w:rPr>
          <w:b/>
          <w:sz w:val="24"/>
          <w:szCs w:val="24"/>
        </w:rPr>
        <w:t>1.</w:t>
        <w:tab/>
        <w:t>Summary of citizen participation process/Efforts made to broaden citizen participation</w:t>
      </w:r>
    </w:p>
    <w:p>
      <w:pPr>
        <w:spacing w:after="0" w:line="240" w:lineRule="auto"/>
        <w:rPr>
          <w:b/>
          <w:sz w:val="24"/>
          <w:szCs w:val="24"/>
        </w:rPr>
      </w:pPr>
      <w:r>
        <w:rPr>
          <w:b/>
          <w:sz w:val="24"/>
          <w:szCs w:val="24"/>
        </w:rPr>
        <w:t>Summarize citizen participation process and how it impacted goal-setting</w:t>
      </w:r>
    </w:p>
    <w:p>
      <w:pPr>
        <w:spacing w:after="0" w:line="240" w:lineRule="auto"/>
        <w:rPr>
          <w:b/>
          <w:sz w:val="24"/>
          <w:szCs w:val="24"/>
        </w:rPr>
      </w:pPr>
    </w:p>
    <w:p>
      <w:pPr>
        <w:rPr>
          <w:rFonts w:cs="Arial"/>
        </w:rPr>
      </w:pPr>
    </w:p>
    <w:p>
      <w:pPr>
        <w:keepNext/>
        <w:rPr>
          <w:b/>
          <w:sz w:val="24"/>
          <w:szCs w:val="24"/>
        </w:rPr>
      </w:pPr>
      <w:r>
        <w:rPr>
          <w:b/>
          <w:sz w:val="24"/>
          <w:szCs w:val="24"/>
        </w:rPr>
        <w:t>Citizen Participation Outreach</w:t>
      </w: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15" w:type="dxa"/>
          <w:right w:w="115" w:type="dxa"/>
        </w:tblCellMar>
        <w:tblLook w:firstRow="1" w:lastRow="1" w:firstColumn="1" w:lastColumn="1" w:noHBand="0" w:noVBand="0" w:val="01E0"/>
      </w:tblPr>
      <w:tblGrid>
        <w:gridCol w:w="1232"/>
        <w:gridCol w:w="1908"/>
        <w:gridCol w:w="1956"/>
        <w:gridCol w:w="2192"/>
        <w:gridCol w:w="2020"/>
        <w:gridCol w:w="2350"/>
        <w:gridCol w:w="1532"/>
      </w:tblGrid>
      <w:tr>
        <w:trPr>
          <w:cantSplit/>
          <w:tblHeader/>
        </w:trPr>
        <w:tc>
          <w:tcPr>
            <w:tcW w:w="540" w:type="pct"/>
            <w:tcBorders>
              <w:top w:val="single" w:color="auto" w:sz="4" w:space="0"/>
              <w:left w:val="single" w:color="auto" w:sz="4" w:space="0"/>
              <w:bottom w:val="single" w:color="auto" w:sz="4" w:space="0"/>
              <w:right w:val="single" w:color="auto" w:sz="4" w:space="0"/>
            </w:tcBorders>
            <w:hideMark/>
          </w:tcPr>
          <w:p>
            <w:pPr>
              <w:keepNext/>
              <w:spacing w:after="0" w:line="240" w:lineRule="auto"/>
              <w:jc w:val="center"/>
              <w:rPr>
                <w:b/>
                <w:bCs/>
              </w:rPr>
            </w:pPr>
            <w:r>
              <w:rPr>
                <w:b/>
                <w:bCs/>
              </w:rPr>
              <w:t>Sort Order</w:t>
            </w:r>
          </w:p>
        </w:tc>
        <w:tc>
          <w:tcPr>
            <w:tcW w:w="540" w:type="pct"/>
            <w:tcBorders>
              <w:top w:val="single" w:color="auto" w:sz="4" w:space="0"/>
              <w:left w:val="single" w:color="auto" w:sz="4" w:space="0"/>
              <w:bottom w:val="single" w:color="auto" w:sz="4" w:space="0"/>
              <w:right w:val="single" w:color="auto" w:sz="4" w:space="0"/>
            </w:tcBorders>
            <w:hideMark/>
          </w:tcPr>
          <w:p>
            <w:pPr>
              <w:keepNext/>
              <w:spacing w:after="0" w:line="240" w:lineRule="auto"/>
              <w:jc w:val="center"/>
              <w:rPr>
                <w:b/>
              </w:rPr>
            </w:pPr>
            <w:r>
              <w:rPr>
                <w:b/>
                <w:bCs/>
              </w:rPr>
              <w:t>Mode of Outreach</w:t>
            </w:r>
          </w:p>
        </w:tc>
        <w:tc>
          <w:tcPr>
            <w:tcW w:w="783" w:type="pct"/>
            <w:tcBorders>
              <w:top w:val="single" w:color="auto" w:sz="4" w:space="0"/>
              <w:left w:val="single" w:color="auto" w:sz="4" w:space="0"/>
              <w:bottom w:val="single" w:color="auto" w:sz="4" w:space="0"/>
              <w:right w:val="single" w:color="auto" w:sz="4" w:space="0"/>
            </w:tcBorders>
            <w:hideMark/>
          </w:tcPr>
          <w:p>
            <w:pPr>
              <w:keepNext/>
              <w:spacing w:after="0" w:line="240" w:lineRule="auto"/>
              <w:jc w:val="center"/>
              <w:rPr>
                <w:b/>
              </w:rPr>
            </w:pPr>
            <w:r>
              <w:rPr>
                <w:b/>
                <w:bCs/>
              </w:rPr>
              <w:t>Target of Outreach</w:t>
            </w:r>
          </w:p>
        </w:tc>
        <w:tc>
          <w:tcPr>
            <w:tcW w:w="831" w:type="pct"/>
            <w:tcBorders>
              <w:top w:val="single" w:color="auto" w:sz="4" w:space="0"/>
              <w:left w:val="single" w:color="auto" w:sz="4" w:space="0"/>
              <w:bottom w:val="single" w:color="auto" w:sz="4" w:space="0"/>
              <w:right w:val="single" w:color="auto" w:sz="4" w:space="0"/>
            </w:tcBorders>
            <w:hideMark/>
          </w:tcPr>
          <w:p>
            <w:pPr>
              <w:keepNext/>
              <w:spacing w:after="0" w:line="240" w:lineRule="auto"/>
              <w:jc w:val="center"/>
              <w:rPr>
                <w:b/>
                <w:bCs/>
              </w:rPr>
            </w:pPr>
            <w:r>
              <w:rPr>
                <w:b/>
                <w:bCs/>
              </w:rPr>
              <w:t>Summary of </w:t>
            </w:r>
          </w:p>
          <w:p>
            <w:pPr>
              <w:keepNext/>
              <w:spacing w:after="0" w:line="240" w:lineRule="auto"/>
              <w:jc w:val="center"/>
              <w:rPr>
                <w:b/>
              </w:rPr>
            </w:pPr>
            <w:r>
              <w:rPr>
                <w:b/>
                <w:bCs/>
              </w:rPr>
              <w:t>response/attendance</w:t>
            </w:r>
          </w:p>
        </w:tc>
        <w:tc>
          <w:tcPr>
            <w:tcW w:w="783" w:type="pct"/>
            <w:tcBorders>
              <w:top w:val="single" w:color="auto" w:sz="4" w:space="0"/>
              <w:left w:val="single" w:color="auto" w:sz="4" w:space="0"/>
              <w:bottom w:val="single" w:color="auto" w:sz="4" w:space="0"/>
              <w:right w:val="single" w:color="auto" w:sz="4" w:space="0"/>
            </w:tcBorders>
            <w:hideMark/>
          </w:tcPr>
          <w:p>
            <w:pPr>
              <w:keepNext/>
              <w:spacing w:after="0" w:line="240" w:lineRule="auto"/>
              <w:jc w:val="center"/>
              <w:rPr>
                <w:b/>
                <w:bCs/>
              </w:rPr>
            </w:pPr>
            <w:r>
              <w:rPr>
                <w:b/>
                <w:bCs/>
              </w:rPr>
              <w:t>Summary of </w:t>
            </w:r>
          </w:p>
          <w:p>
            <w:pPr>
              <w:keepNext/>
              <w:spacing w:after="0" w:line="240" w:lineRule="auto"/>
              <w:jc w:val="center"/>
              <w:rPr>
                <w:b/>
              </w:rPr>
            </w:pPr>
            <w:r>
              <w:rPr>
                <w:b/>
                <w:bCs/>
              </w:rPr>
              <w:t>comments received</w:t>
            </w:r>
          </w:p>
        </w:tc>
        <w:tc>
          <w:tcPr>
            <w:tcW w:w="783" w:type="pct"/>
            <w:tcBorders>
              <w:top w:val="single" w:color="auto" w:sz="4" w:space="0"/>
              <w:left w:val="single" w:color="auto" w:sz="4" w:space="0"/>
              <w:bottom w:val="single" w:color="auto" w:sz="4" w:space="0"/>
              <w:right w:val="single" w:color="auto" w:sz="4" w:space="0"/>
            </w:tcBorders>
            <w:hideMark/>
          </w:tcPr>
          <w:p>
            <w:pPr>
              <w:keepNext/>
              <w:spacing w:after="0" w:line="240" w:lineRule="auto"/>
              <w:jc w:val="center"/>
              <w:rPr>
                <w:b/>
              </w:rPr>
            </w:pPr>
            <w:r>
              <w:rPr>
                <w:b/>
                <w:bCs/>
              </w:rPr>
              <w:t>Summary of comments not accepted and reasons</w:t>
            </w:r>
          </w:p>
        </w:tc>
        <w:tc>
          <w:tcPr>
            <w:tcW w:w="740" w:type="pct"/>
            <w:tcBorders>
              <w:top w:val="single" w:color="auto" w:sz="4" w:space="0"/>
              <w:left w:val="single" w:color="auto" w:sz="4" w:space="0"/>
              <w:bottom w:val="single" w:color="auto" w:sz="4" w:space="0"/>
              <w:right w:val="single" w:color="auto" w:sz="4" w:space="0"/>
            </w:tcBorders>
            <w:hideMark/>
          </w:tcPr>
          <w:p>
            <w:pPr>
              <w:keepNext/>
              <w:spacing w:after="0" w:line="240" w:lineRule="auto"/>
              <w:jc w:val="center"/>
              <w:rPr>
                <w:b/>
              </w:rPr>
            </w:pPr>
            <w:r>
              <w:rPr>
                <w:b/>
                <w:bCs/>
              </w:rPr>
              <w:t>URL (If applicable)</w:t>
            </w:r>
          </w:p>
        </w:tc>
      </w:tr>
      <w:tr>
        <w:trPr>
          <w:cantSplit/>
        </w:trPr>
        <w:tc>
          <w:tcPr>
            <w:tcW w:w="540" w:type="pct"/>
            <w:tcBorders>
              <w:top w:val="single" w:color="auto" w:sz="4" w:space="0"/>
              <w:left w:val="single" w:color="auto" w:sz="4" w:space="0"/>
              <w:bottom w:val="single" w:color="auto" w:sz="4" w:space="0"/>
              <w:right w:val="single" w:color="auto" w:sz="4" w:space="0"/>
            </w:tcBorders>
          </w:tcPr>
          <w:p>
            <w:pPr>
              <w:keepNext/>
              <w:spacing w:after="0" w:line="240" w:lineRule="auto"/>
            </w:pPr>
          </w:p>
        </w:tc>
        <w:tc>
          <w:tcPr>
            <w:tcW w:w="540" w:type="pct"/>
            <w:tcBorders>
              <w:top w:val="single" w:color="auto" w:sz="4" w:space="0"/>
              <w:left w:val="single" w:color="auto" w:sz="4" w:space="0"/>
              <w:bottom w:val="single" w:color="auto" w:sz="4" w:space="0"/>
              <w:right w:val="single" w:color="auto" w:sz="4" w:space="0"/>
            </w:tcBorders>
          </w:tcPr>
          <w:p>
            <w:pPr>
              <w:keepNext/>
              <w:spacing w:after="0" w:line="240" w:lineRule="auto"/>
            </w:pPr>
          </w:p>
        </w:tc>
        <w:tc>
          <w:tcPr>
            <w:tcW w:w="783" w:type="pct"/>
            <w:tcBorders>
              <w:top w:val="single" w:color="auto" w:sz="4" w:space="0"/>
              <w:left w:val="single" w:color="auto" w:sz="4" w:space="0"/>
              <w:bottom w:val="single" w:color="auto" w:sz="4" w:space="0"/>
              <w:right w:val="single" w:color="auto" w:sz="4" w:space="0"/>
            </w:tcBorders>
          </w:tcPr>
          <w:p>
            <w:pPr>
              <w:keepNext/>
              <w:spacing w:after="0" w:line="240" w:lineRule="auto"/>
            </w:pPr>
          </w:p>
        </w:tc>
        <w:tc>
          <w:tcPr>
            <w:tcW w:w="831" w:type="pct"/>
            <w:tcBorders>
              <w:top w:val="single" w:color="auto" w:sz="4" w:space="0"/>
              <w:left w:val="single" w:color="auto" w:sz="4" w:space="0"/>
              <w:bottom w:val="single" w:color="auto" w:sz="4" w:space="0"/>
              <w:right w:val="single" w:color="auto" w:sz="4" w:space="0"/>
            </w:tcBorders>
          </w:tcPr>
          <w:p>
            <w:pPr>
              <w:keepNext/>
              <w:spacing w:after="0" w:line="240" w:lineRule="auto"/>
            </w:pPr>
          </w:p>
        </w:tc>
        <w:tc>
          <w:tcPr>
            <w:tcW w:w="783" w:type="pct"/>
            <w:tcBorders>
              <w:top w:val="single" w:color="auto" w:sz="4" w:space="0"/>
              <w:left w:val="single" w:color="auto" w:sz="4" w:space="0"/>
              <w:bottom w:val="single" w:color="auto" w:sz="4" w:space="0"/>
              <w:right w:val="single" w:color="auto" w:sz="4" w:space="0"/>
            </w:tcBorders>
          </w:tcPr>
          <w:p>
            <w:pPr>
              <w:keepNext/>
              <w:spacing w:after="0" w:line="240" w:lineRule="auto"/>
            </w:pPr>
          </w:p>
        </w:tc>
        <w:tc>
          <w:tcPr>
            <w:tcW w:w="783" w:type="pct"/>
            <w:tcBorders>
              <w:top w:val="single" w:color="auto" w:sz="4" w:space="0"/>
              <w:left w:val="single" w:color="auto" w:sz="4" w:space="0"/>
              <w:bottom w:val="single" w:color="auto" w:sz="4" w:space="0"/>
              <w:right w:val="single" w:color="auto" w:sz="4" w:space="0"/>
            </w:tcBorders>
          </w:tcPr>
          <w:p>
            <w:pPr>
              <w:keepNext/>
              <w:spacing w:after="0" w:line="240" w:lineRule="auto"/>
            </w:pPr>
          </w:p>
        </w:tc>
        <w:tc>
          <w:tcPr>
            <w:tcW w:w="740" w:type="pct"/>
            <w:tcBorders>
              <w:top w:val="single" w:color="auto" w:sz="4" w:space="0"/>
              <w:left w:val="single" w:color="auto" w:sz="4" w:space="0"/>
              <w:bottom w:val="single" w:color="auto" w:sz="4" w:space="0"/>
              <w:right w:val="single" w:color="auto" w:sz="4" w:space="0"/>
            </w:tcBorders>
          </w:tcPr>
          <w:p>
            <w:pPr>
              <w:keepNext/>
              <w:spacing w:after="0" w:line="240" w:lineRule="auto"/>
            </w:pPr>
          </w:p>
        </w:tc>
      </w:tr>
    </w:tbl>
    <w:p>
      <w:pPr>
        <w:pStyle w:val="Caption"/>
        <w:jc w:val="center"/>
        <w:rPr>
          <w:rFonts w:asciiTheme="minorHAnsi" w:hAnsiTheme="minorHAnsi"/>
        </w:rPr>
      </w:pPr>
      <w:r>
        <w:rPr>
          <w:rFonts w:asciiTheme="minorHAnsi" w:hAnsiTheme="minorHAnsi"/>
        </w:rPr>
        <w:t xml:space="preserve">Table </w:t>
        <w:fldChar w:fldCharType="begin"/>
        <w:instrText xml:space="preserve"> SEQ Table \* ARABIC </w:instrText>
        <w:fldChar w:fldCharType="separate"/>
        <w:t>4</w:t>
        <w:fldChar w:fldCharType="end"/>
        <w:t xml:space="preserve"> – Citizen Participation Outreach</w:t>
      </w:r>
    </w:p>
    <w:p>
      <w:pPr>
        <w:rPr>
          <w:rFonts w:cs="Arial"/>
        </w:rPr>
        <w:sectPr>
          <w:footerReference r:id="rId14" w:type="default"/>
          <w:pgSz w:w="15840" w:h="12240" w:orient="landscape" w:code="1"/>
          <w:pgMar w:top="1440" w:right="1440" w:bottom="1440" w:left="1440" w:header="720" w:footer="720" w:gutter="0"/>
          <w:cols w:space="720"/>
          <w:docGrid w:linePitch="360"/>
        </w:sectPr>
      </w:pPr>
    </w:p>
    <w:p>
      <w:pPr>
        <w:rPr>
          <w:rFonts w:cs="Arial"/>
        </w:rPr>
      </w:pPr>
    </w:p>
    <w:p>
      <w:pPr>
        <w:pStyle w:val="Heading1"/>
        <w:ind w:firstLine="720"/>
        <w:jc w:val="center"/>
        <w:rPr>
          <w:rFonts w:ascii="Calibri" w:hAnsi="Calibri"/>
          <w:color w:val="auto"/>
          <w:sz w:val="32"/>
          <w:szCs w:val="32"/>
        </w:rPr>
      </w:pPr>
      <w:r>
        <w:rPr>
          <w:rFonts w:ascii="Calibri" w:hAnsi="Calibri"/>
          <w:color w:val="auto"/>
          <w:sz w:val="32"/>
          <w:szCs w:val="32"/>
        </w:rPr>
        <w:t xml:space="preserve">Expected Resources </w:t>
      </w:r>
    </w:p>
    <w:p>
      <w:pPr>
        <w:pStyle w:val="Heading2"/>
        <w:rPr>
          <w:rFonts w:ascii="Calibri" w:hAnsi="Calibri"/>
          <w:i w:val="false"/>
        </w:rPr>
      </w:pPr>
      <w:r>
        <w:rPr>
          <w:rFonts w:ascii="Calibri" w:hAnsi="Calibri"/>
          <w:i w:val="false"/>
        </w:rPr>
        <w:t>AP-15 Expected Resources – 91.220(c)(1,2)</w:t>
      </w:r>
    </w:p>
    <w:p>
      <w:pPr>
        <w:keepNext/>
        <w:widowControl w:val="false"/>
        <w:spacing w:line="204" w:lineRule="auto"/>
        <w:rPr>
          <w:b/>
          <w:sz w:val="28"/>
          <w:szCs w:val="28"/>
        </w:rPr>
      </w:pPr>
      <w:r>
        <w:rPr>
          <w:b/>
          <w:sz w:val="24"/>
          <w:szCs w:val="24"/>
        </w:rPr>
        <w:t>Introduction</w:t>
      </w:r>
    </w:p>
    <w:p>
      <w:pPr>
        <w:keepNext/>
        <w:widowControl w:val="false"/>
        <w:spacing w:beforeAutospacing="true" w:afterAutospacing="true"/>
        <w:rPr>
          <w:b/>
          <w:sz w:val="24"/>
          <w:szCs w:val="24"/>
        </w:rPr>
      </w:pPr>
      <w:r>
        <w:rPr/>
        <w:t xml:space="preserve">The City annually receives CDBG and HOME funds that are earmarked for community-based projects.  </w:t>
      </w:r>
      <w:r>
        <w:rPr/>
        <w:t xml:space="preserve">The City is working with a local affordable housing developer (Orange Housing Development Corporation) to allocate HOME funds for an affordable housing project in the pipeline</w:t>
      </w:r>
      <w:r>
        <w:rPr/>
        <w:t xml:space="preserve">. With the new State housing legislatives and funds, the City is making every effort to promote the creation and preservation of affordable housing units.  In the past, the City used its HOME funds as well as its former redevelopment funds to subsidize affordable housing projects.  With the new State funds, the City continues to encourage and support affordable housing projects. Over the next five years, the City will receive State funding that will be used for transitional and permanent supportive housing projects.  </w:t>
      </w:r>
    </w:p>
    <w:p>
      <w:pPr>
        <w:keepNext/>
        <w:widowControl w:val="false"/>
        <w:rPr>
          <w:b/>
          <w:sz w:val="24"/>
          <w:szCs w:val="24"/>
        </w:rPr>
      </w:pPr>
      <w:r>
        <w:rPr>
          <w:b/>
          <w:sz w:val="24"/>
          <w:szCs w:val="24"/>
        </w:rPr>
        <w:t>Anticipated Resources</w:t>
      </w:r>
    </w:p>
    <w:tbl>
      <w:tblPr>
        <w:tblW w:w="5000" w:type="pct"/>
        <w:tblInd w:w="1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firstRow="1" w:lastRow="1" w:firstColumn="1" w:lastColumn="1" w:noHBand="0" w:noVBand="0" w:val="01E0"/>
      </w:tblPr>
      <w:tblGrid>
        <w:gridCol w:w="1808"/>
        <w:gridCol w:w="827"/>
        <w:gridCol w:w="1953"/>
        <w:gridCol w:w="1215"/>
        <w:gridCol w:w="1271"/>
        <w:gridCol w:w="1271"/>
        <w:gridCol w:w="1090"/>
        <w:gridCol w:w="1271"/>
        <w:gridCol w:w="2470"/>
      </w:tblGrid>
      <w:tr>
        <w:trPr>
          <w:cantSplit/>
          <w:tblHeader/>
        </w:trPr>
        <w:tc>
          <w:tcPr>
            <w:tcW w:w="1793" w:type="dxa"/>
            <w:vMerge w:val="restart"/>
          </w:tcPr>
          <w:p>
            <w:pPr>
              <w:keepNext/>
              <w:widowControl w:val="false"/>
              <w:spacing w:after="0" w:line="240" w:lineRule="auto"/>
              <w:jc w:val="center"/>
              <w:rPr>
                <w:b/>
                <w:sz w:val="24"/>
                <w:szCs w:val="24"/>
              </w:rPr>
            </w:pPr>
            <w:r>
              <w:rPr>
                <w:b/>
                <w:sz w:val="20"/>
                <w:szCs w:val="20"/>
              </w:rPr>
              <w:t>Program</w:t>
            </w:r>
          </w:p>
        </w:tc>
        <w:tc>
          <w:tcPr>
            <w:tcW w:w="820" w:type="dxa"/>
            <w:vMerge w:val="restart"/>
          </w:tcPr>
          <w:p>
            <w:pPr>
              <w:keepNext/>
              <w:widowControl w:val="false"/>
              <w:spacing w:after="0" w:line="240" w:lineRule="auto"/>
              <w:jc w:val="center"/>
              <w:rPr>
                <w:b/>
                <w:sz w:val="24"/>
                <w:szCs w:val="24"/>
              </w:rPr>
            </w:pPr>
            <w:r>
              <w:rPr>
                <w:b/>
                <w:sz w:val="20"/>
                <w:szCs w:val="20"/>
              </w:rPr>
              <w:t>Source of Funds</w:t>
            </w:r>
          </w:p>
        </w:tc>
        <w:tc>
          <w:tcPr>
            <w:tcW w:w="1936" w:type="dxa"/>
            <w:vMerge w:val="restart"/>
          </w:tcPr>
          <w:p>
            <w:pPr>
              <w:keepNext/>
              <w:widowControl w:val="false"/>
              <w:spacing w:after="0" w:line="240" w:lineRule="auto"/>
              <w:jc w:val="center"/>
              <w:rPr>
                <w:b/>
                <w:sz w:val="24"/>
                <w:szCs w:val="24"/>
              </w:rPr>
            </w:pPr>
            <w:r>
              <w:rPr>
                <w:b/>
                <w:sz w:val="20"/>
                <w:szCs w:val="20"/>
              </w:rPr>
              <w:t>Uses of Funds</w:t>
            </w:r>
          </w:p>
        </w:tc>
        <w:tc>
          <w:tcPr>
            <w:tcW w:w="4804" w:type="dxa"/>
            <w:gridSpan w:val="4"/>
          </w:tcPr>
          <w:p>
            <w:pPr>
              <w:keepNext/>
              <w:widowControl w:val="false"/>
              <w:spacing w:after="0" w:line="240" w:lineRule="auto"/>
              <w:jc w:val="center"/>
              <w:rPr>
                <w:b/>
                <w:sz w:val="24"/>
                <w:szCs w:val="24"/>
              </w:rPr>
            </w:pPr>
            <w:r>
              <w:rPr>
                <w:b/>
                <w:bCs/>
                <w:sz w:val="20"/>
                <w:szCs w:val="20"/>
              </w:rPr>
              <w:t>Expected Amount Available Year 1</w:t>
            </w:r>
          </w:p>
        </w:tc>
        <w:tc>
          <w:tcPr>
            <w:tcW w:w="1260" w:type="dxa"/>
            <w:vMerge w:val="restart"/>
          </w:tcPr>
          <w:p>
            <w:pPr>
              <w:keepNext/>
              <w:widowControl w:val="false"/>
              <w:spacing w:after="0" w:line="240" w:lineRule="auto"/>
              <w:jc w:val="center"/>
              <w:rPr>
                <w:b/>
                <w:sz w:val="20"/>
                <w:szCs w:val="20"/>
              </w:rPr>
            </w:pPr>
            <w:r>
              <w:rPr>
                <w:b/>
                <w:sz w:val="20"/>
                <w:szCs w:val="20"/>
              </w:rPr>
              <w:t xml:space="preserve">Expected Amount Available Remainder of ConPlan </w:t>
            </w:r>
          </w:p>
          <w:p>
            <w:pPr>
              <w:keepNext/>
              <w:widowControl w:val="false"/>
              <w:spacing w:after="0" w:line="240" w:lineRule="auto"/>
              <w:jc w:val="center"/>
              <w:rPr>
                <w:b/>
                <w:sz w:val="24"/>
                <w:szCs w:val="24"/>
              </w:rPr>
            </w:pPr>
            <w:r>
              <w:rPr>
                <w:b/>
                <w:sz w:val="20"/>
                <w:szCs w:val="20"/>
              </w:rPr>
              <w:t>$</w:t>
            </w:r>
          </w:p>
        </w:tc>
        <w:tc>
          <w:tcPr>
            <w:tcW w:w="2448" w:type="dxa"/>
            <w:vMerge w:val="restart"/>
          </w:tcPr>
          <w:p>
            <w:pPr>
              <w:keepNext/>
              <w:widowControl w:val="false"/>
              <w:spacing w:after="0" w:line="240" w:lineRule="auto"/>
              <w:jc w:val="center"/>
              <w:rPr>
                <w:b/>
                <w:sz w:val="24"/>
                <w:szCs w:val="24"/>
              </w:rPr>
            </w:pPr>
            <w:r>
              <w:rPr>
                <w:b/>
                <w:sz w:val="20"/>
                <w:szCs w:val="20"/>
              </w:rPr>
              <w:t>Narrative Description</w:t>
            </w:r>
          </w:p>
        </w:tc>
      </w:tr>
      <w:tr>
        <w:trPr>
          <w:cantSplit/>
          <w:tblHeader/>
        </w:trPr>
        <w:tc>
          <w:tcPr>
            <w:tcW w:w="1793" w:type="dxa"/>
            <w:vMerge/>
          </w:tcPr>
          <w:p>
            <w:pPr>
              <w:keepNext/>
              <w:widowControl w:val="false"/>
              <w:spacing w:after="0" w:line="240" w:lineRule="auto"/>
              <w:jc w:val="center"/>
              <w:rPr>
                <w:b/>
                <w:sz w:val="24"/>
                <w:szCs w:val="24"/>
              </w:rPr>
            </w:pPr>
          </w:p>
        </w:tc>
        <w:tc>
          <w:tcPr>
            <w:tcW w:w="820" w:type="dxa"/>
            <w:vMerge/>
          </w:tcPr>
          <w:p>
            <w:pPr>
              <w:keepNext/>
              <w:widowControl w:val="false"/>
              <w:spacing w:after="0" w:line="240" w:lineRule="auto"/>
              <w:jc w:val="center"/>
              <w:rPr>
                <w:b/>
                <w:sz w:val="24"/>
                <w:szCs w:val="24"/>
              </w:rPr>
            </w:pPr>
          </w:p>
        </w:tc>
        <w:tc>
          <w:tcPr>
            <w:tcW w:w="1936" w:type="dxa"/>
            <w:vMerge/>
          </w:tcPr>
          <w:p>
            <w:pPr>
              <w:keepNext/>
              <w:widowControl w:val="false"/>
              <w:spacing w:after="0" w:line="240" w:lineRule="auto"/>
              <w:jc w:val="center"/>
              <w:rPr>
                <w:b/>
                <w:sz w:val="24"/>
                <w:szCs w:val="24"/>
              </w:rPr>
            </w:pPr>
          </w:p>
        </w:tc>
        <w:tc>
          <w:tcPr>
            <w:tcW w:w="1204" w:type="dxa"/>
          </w:tcPr>
          <w:p>
            <w:pPr>
              <w:keepNext/>
              <w:widowControl w:val="false"/>
              <w:spacing w:after="0" w:line="240" w:lineRule="auto"/>
              <w:jc w:val="center"/>
              <w:rPr>
                <w:b/>
                <w:sz w:val="24"/>
                <w:szCs w:val="24"/>
              </w:rPr>
            </w:pPr>
            <w:r>
              <w:rPr>
                <w:b/>
                <w:sz w:val="20"/>
                <w:szCs w:val="20"/>
              </w:rPr>
              <w:t>Annual Allocation: $</w:t>
            </w:r>
          </w:p>
        </w:tc>
        <w:tc>
          <w:tcPr>
            <w:tcW w:w="1260" w:type="dxa"/>
          </w:tcPr>
          <w:p>
            <w:pPr>
              <w:keepNext/>
              <w:widowControl w:val="false"/>
              <w:spacing w:after="0" w:line="240" w:lineRule="auto"/>
              <w:jc w:val="center"/>
              <w:rPr>
                <w:b/>
                <w:sz w:val="24"/>
                <w:szCs w:val="24"/>
              </w:rPr>
            </w:pPr>
            <w:r>
              <w:rPr>
                <w:b/>
                <w:sz w:val="20"/>
                <w:szCs w:val="20"/>
              </w:rPr>
              <w:t>Program Income: $</w:t>
            </w:r>
          </w:p>
        </w:tc>
        <w:tc>
          <w:tcPr>
            <w:tcW w:w="1260" w:type="dxa"/>
          </w:tcPr>
          <w:p>
            <w:pPr>
              <w:keepNext/>
              <w:widowControl w:val="false"/>
              <w:spacing w:after="0" w:line="240" w:lineRule="auto"/>
              <w:jc w:val="center"/>
              <w:rPr>
                <w:b/>
                <w:sz w:val="24"/>
                <w:szCs w:val="24"/>
              </w:rPr>
            </w:pPr>
            <w:r>
              <w:rPr>
                <w:b/>
                <w:sz w:val="20"/>
                <w:szCs w:val="20"/>
              </w:rPr>
              <w:t>Prior Year Resources: $</w:t>
            </w:r>
          </w:p>
        </w:tc>
        <w:tc>
          <w:tcPr>
            <w:tcW w:w="1080" w:type="dxa"/>
          </w:tcPr>
          <w:p>
            <w:pPr>
              <w:keepNext/>
              <w:widowControl w:val="false"/>
              <w:spacing w:after="0" w:line="240" w:lineRule="auto"/>
              <w:jc w:val="center"/>
              <w:rPr>
                <w:b/>
                <w:sz w:val="20"/>
                <w:szCs w:val="20"/>
              </w:rPr>
            </w:pPr>
            <w:r>
              <w:rPr>
                <w:b/>
                <w:sz w:val="20"/>
                <w:szCs w:val="20"/>
              </w:rPr>
              <w:t>Total:</w:t>
            </w:r>
          </w:p>
          <w:p>
            <w:pPr>
              <w:keepNext/>
              <w:widowControl w:val="false"/>
              <w:spacing w:after="0" w:line="240" w:lineRule="auto"/>
              <w:jc w:val="center"/>
              <w:rPr>
                <w:b/>
                <w:sz w:val="24"/>
                <w:szCs w:val="24"/>
              </w:rPr>
            </w:pPr>
            <w:r>
              <w:rPr>
                <w:b/>
                <w:sz w:val="20"/>
                <w:szCs w:val="20"/>
              </w:rPr>
              <w:t>$</w:t>
            </w:r>
          </w:p>
        </w:tc>
        <w:tc>
          <w:tcPr>
            <w:tcW w:w="1260" w:type="dxa"/>
            <w:vMerge/>
          </w:tcPr>
          <w:p>
            <w:pPr>
              <w:keepNext/>
              <w:widowControl w:val="false"/>
              <w:spacing w:after="0" w:line="240" w:lineRule="auto"/>
              <w:jc w:val="center"/>
              <w:rPr>
                <w:b/>
                <w:sz w:val="24"/>
                <w:szCs w:val="24"/>
              </w:rPr>
            </w:pPr>
          </w:p>
        </w:tc>
        <w:tc>
          <w:tcPr>
            <w:tcW w:w="2448" w:type="dxa"/>
            <w:vMerge/>
          </w:tcPr>
          <w:p>
            <w:pPr>
              <w:keepNext/>
              <w:widowControl w:val="false"/>
              <w:spacing w:after="0" w:line="240" w:lineRule="auto"/>
              <w:jc w:val="center"/>
              <w:rPr>
                <w:b/>
                <w:sz w:val="24"/>
                <w:szCs w:val="24"/>
              </w:rPr>
            </w:pPr>
          </w:p>
        </w:tc>
      </w:tr>
      <w:tr>
        <w:trPr>
          <w:cantSplit w:val="true"/>
        </w:trPr>
        <w:tc>
          <w:tcPr>
            <w:vAlign w:val="top"/>
          </w:tcPr>
          <w:p>
            <w:pPr>
              <w:spacing w:beforeAutospacing="true" w:afterAutospacing="true"/>
              <w:jc w:val="left"/>
            </w:pPr>
            <w:r>
              <w:rPr>
                <w:rFonts w:ascii="Calibri" w:hAnsi="Calibri"/>
                <w:color w:val="000000"/>
                <w:sz w:val="22"/>
              </w:rPr>
              <w:t xml:space="preserve">CDBG</w:t>
            </w:r>
          </w:p>
        </w:tc>
        <w:tc>
          <w:tcPr>
            <w:vAlign w:val="top"/>
          </w:tcPr>
          <w:p>
            <w:pPr>
              <w:spacing w:beforeAutospacing="true" w:afterAutospacing="true"/>
              <w:jc w:val="left"/>
            </w:pPr>
            <w:r>
              <w:rPr>
                <w:rFonts w:ascii="Calibri" w:hAnsi="Calibri"/>
                <w:color w:val="000000"/>
                <w:sz w:val="22"/>
              </w:rPr>
              <w:t xml:space="preserve">public - federal</w:t>
            </w:r>
          </w:p>
        </w:tc>
        <w:tc>
          <w:tcPr>
            <w:vAlign w:val="top"/>
          </w:tcPr>
          <w:p>
            <w:pPr>
              <w:spacing w:beforeAutospacing="true" w:afterAutospacing="true"/>
              <w:jc w:val="left"/>
            </w:pPr>
            <w:r>
              <w:rPr>
                <w:rFonts w:ascii="Calibri" w:hAnsi="Calibri"/>
                <w:color w:val="000000"/>
                <w:sz w:val="22"/>
              </w:rPr>
              <w:t xml:space="preserve">Acquisition</w:t>
            </w:r>
            <w:r>
              <w:rPr>
                <w:rFonts w:ascii="Calibri" w:hAnsi="Calibri"/>
                <w:color w:val="000000"/>
                <w:sz w:val="22"/>
              </w:rPr>
              <w:br/>
              <w:t xml:space="preserve"/>
            </w:r>
            <w:r>
              <w:rPr>
                <w:rFonts w:ascii="Calibri" w:hAnsi="Calibri"/>
                <w:color w:val="000000"/>
                <w:sz w:val="22"/>
              </w:rPr>
              <w:t xml:space="preserve">Admin and Planning</w:t>
            </w:r>
            <w:r>
              <w:rPr>
                <w:rFonts w:ascii="Calibri" w:hAnsi="Calibri"/>
                <w:color w:val="000000"/>
                <w:sz w:val="22"/>
              </w:rPr>
              <w:br/>
              <w:t xml:space="preserve"/>
            </w:r>
            <w:r>
              <w:rPr>
                <w:rFonts w:ascii="Calibri" w:hAnsi="Calibri"/>
                <w:color w:val="000000"/>
                <w:sz w:val="22"/>
              </w:rPr>
              <w:t xml:space="preserve">Economic Development</w:t>
            </w:r>
            <w:r>
              <w:rPr>
                <w:rFonts w:ascii="Calibri" w:hAnsi="Calibri"/>
                <w:color w:val="000000"/>
                <w:sz w:val="22"/>
              </w:rPr>
              <w:br/>
              <w:t xml:space="preserve"/>
            </w:r>
            <w:r>
              <w:rPr>
                <w:rFonts w:ascii="Calibri" w:hAnsi="Calibri"/>
                <w:color w:val="000000"/>
                <w:sz w:val="22"/>
              </w:rPr>
              <w:t xml:space="preserve">Housing</w:t>
            </w:r>
            <w:r>
              <w:rPr>
                <w:rFonts w:ascii="Calibri" w:hAnsi="Calibri"/>
                <w:color w:val="000000"/>
                <w:sz w:val="22"/>
              </w:rPr>
              <w:br/>
              <w:t xml:space="preserve"/>
            </w:r>
            <w:r>
              <w:rPr>
                <w:rFonts w:ascii="Calibri" w:hAnsi="Calibri"/>
                <w:color w:val="000000"/>
                <w:sz w:val="22"/>
              </w:rPr>
              <w:t xml:space="preserve">Public Improvements</w:t>
            </w:r>
            <w:r>
              <w:rPr>
                <w:rFonts w:ascii="Calibri" w:hAnsi="Calibri"/>
                <w:color w:val="000000"/>
                <w:sz w:val="22"/>
              </w:rPr>
              <w:br/>
              <w:t xml:space="preserve"/>
            </w:r>
            <w:r>
              <w:rPr>
                <w:rFonts w:ascii="Calibri" w:hAnsi="Calibri"/>
                <w:color w:val="000000"/>
                <w:sz w:val="22"/>
              </w:rPr>
              <w:t xml:space="preserve">Public Services</w:t>
            </w:r>
          </w:p>
        </w:tc>
        <w:tc>
          <w:tcPr>
            <w:vAlign w:val="bottom"/>
          </w:tcPr>
          <w:p>
            <w:pPr>
              <w:spacing w:beforeAutospacing="true" w:afterAutospacing="true"/>
              <w:jc w:val="right"/>
            </w:pPr>
            <w:r>
              <w:rPr>
                <w:rFonts w:ascii="Calibri" w:hAnsi="Calibri"/>
                <w:color w:val="000000"/>
                <w:sz w:val="22"/>
              </w:rPr>
              <w:t xml:space="preserve">1,199,876</w:t>
            </w:r>
          </w:p>
        </w:tc>
        <w:tc>
          <w:tcPr>
            <w:vAlign w:val="bottom"/>
          </w:tcPr>
          <w:p>
            <w:pPr>
              <w:spacing w:beforeAutospacing="true" w:afterAutospacing="true"/>
              <w:jc w:val="right"/>
            </w:pPr>
            <w:r>
              <w:rPr>
                <w:rFonts w:ascii="Calibri" w:hAnsi="Calibri"/>
                <w:color w:val="000000"/>
                <w:sz w:val="22"/>
              </w:rPr>
              <w:t xml:space="preserve">0</w:t>
            </w:r>
          </w:p>
        </w:tc>
        <w:tc>
          <w:tcPr>
            <w:vAlign w:val="bottom"/>
          </w:tcPr>
          <w:p>
            <w:pPr>
              <w:spacing w:beforeAutospacing="true" w:afterAutospacing="true"/>
              <w:jc w:val="right"/>
            </w:pPr>
            <w:r>
              <w:rPr>
                <w:rFonts w:ascii="Calibri" w:hAnsi="Calibri"/>
                <w:color w:val="000000"/>
                <w:sz w:val="22"/>
              </w:rPr>
              <w:t xml:space="preserve">100,000</w:t>
            </w:r>
          </w:p>
        </w:tc>
        <w:tc>
          <w:tcPr>
            <w:vAlign w:val="bottom"/>
          </w:tcPr>
          <w:p>
            <w:pPr>
              <w:spacing w:beforeAutospacing="true" w:afterAutospacing="true"/>
              <w:jc w:val="right"/>
            </w:pPr>
            <w:r>
              <w:rPr>
                <w:rFonts w:ascii="Calibri" w:hAnsi="Calibri"/>
                <w:color w:val="000000"/>
                <w:sz w:val="22"/>
              </w:rPr>
              <w:t xml:space="preserve">1,299,876</w:t>
            </w:r>
          </w:p>
        </w:tc>
        <w:tc>
          <w:tcPr>
            <w:vAlign w:val="bottom"/>
          </w:tcPr>
          <w:p>
            <w:pPr>
              <w:spacing w:beforeAutospacing="true" w:afterAutospacing="true"/>
              <w:jc w:val="right"/>
            </w:pPr>
            <w:r>
              <w:rPr>
                <w:rFonts w:ascii="Calibri" w:hAnsi="Calibri"/>
                <w:color w:val="000000"/>
                <w:sz w:val="22"/>
              </w:rPr>
              <w:t xml:space="preserve">4,799,900</w:t>
            </w:r>
          </w:p>
        </w:tc>
        <w:tc>
          <w:tcPr>
            <w:vAlign w:val="top"/>
          </w:tcPr>
          <w:p>
            <w:pPr>
              <w:spacing w:beforeAutospacing="true" w:afterAutospacing="true"/>
              <w:jc w:val="left"/>
            </w:pPr>
            <w:r>
              <w:rPr>
                <w:rFonts w:ascii="Calibri" w:hAnsi="Calibri"/>
                <w:color w:val="000000"/>
                <w:sz w:val="22"/>
              </w:rPr>
              <w:t xml:space="preserve">The City allocates CDBG funds to public services and public facilities projects.</w:t>
            </w:r>
          </w:p>
        </w:tc>
      </w:tr>
      <w:tr>
        <w:trPr>
          <w:cantSplit w:val="true"/>
        </w:trPr>
        <w:tc>
          <w:tcPr>
            <w:vAlign w:val="top"/>
          </w:tcPr>
          <w:p>
            <w:pPr>
              <w:spacing w:beforeAutospacing="true" w:afterAutospacing="true"/>
              <w:jc w:val="left"/>
            </w:pPr>
            <w:r>
              <w:rPr>
                <w:rFonts w:ascii="Calibri" w:hAnsi="Calibri"/>
                <w:color w:val="000000"/>
                <w:sz w:val="22"/>
              </w:rPr>
              <w:t xml:space="preserve">HOME</w:t>
            </w:r>
          </w:p>
        </w:tc>
        <w:tc>
          <w:tcPr>
            <w:vAlign w:val="top"/>
          </w:tcPr>
          <w:p>
            <w:pPr>
              <w:spacing w:beforeAutospacing="true" w:afterAutospacing="true"/>
              <w:jc w:val="left"/>
            </w:pPr>
            <w:r>
              <w:rPr>
                <w:rFonts w:ascii="Calibri" w:hAnsi="Calibri"/>
                <w:color w:val="000000"/>
                <w:sz w:val="22"/>
              </w:rPr>
              <w:t xml:space="preserve">public - federal</w:t>
            </w:r>
          </w:p>
        </w:tc>
        <w:tc>
          <w:tcPr>
            <w:vAlign w:val="top"/>
          </w:tcPr>
          <w:p>
            <w:pPr>
              <w:spacing w:beforeAutospacing="true" w:afterAutospacing="true"/>
              <w:jc w:val="left"/>
            </w:pPr>
            <w:r>
              <w:rPr>
                <w:rFonts w:ascii="Calibri" w:hAnsi="Calibri"/>
                <w:color w:val="000000"/>
                <w:sz w:val="22"/>
              </w:rPr>
              <w:t xml:space="preserve">Acquisition</w:t>
            </w:r>
            <w:r>
              <w:rPr>
                <w:rFonts w:ascii="Calibri" w:hAnsi="Calibri"/>
                <w:color w:val="000000"/>
                <w:sz w:val="22"/>
              </w:rPr>
              <w:br/>
              <w:t xml:space="preserve"/>
            </w:r>
            <w:r>
              <w:rPr>
                <w:rFonts w:ascii="Calibri" w:hAnsi="Calibri"/>
                <w:color w:val="000000"/>
                <w:sz w:val="22"/>
              </w:rPr>
              <w:t xml:space="preserve">Homebuyer assistance</w:t>
            </w:r>
            <w:r>
              <w:rPr>
                <w:rFonts w:ascii="Calibri" w:hAnsi="Calibri"/>
                <w:color w:val="000000"/>
                <w:sz w:val="22"/>
              </w:rPr>
              <w:br/>
              <w:t xml:space="preserve"/>
            </w:r>
            <w:r>
              <w:rPr>
                <w:rFonts w:ascii="Calibri" w:hAnsi="Calibri"/>
                <w:color w:val="000000"/>
                <w:sz w:val="22"/>
              </w:rPr>
              <w:t xml:space="preserve">Homeowner rehab</w:t>
            </w:r>
            <w:r>
              <w:rPr>
                <w:rFonts w:ascii="Calibri" w:hAnsi="Calibri"/>
                <w:color w:val="000000"/>
                <w:sz w:val="22"/>
              </w:rPr>
              <w:br/>
              <w:t xml:space="preserve"/>
            </w:r>
            <w:r>
              <w:rPr>
                <w:rFonts w:ascii="Calibri" w:hAnsi="Calibri"/>
                <w:color w:val="000000"/>
                <w:sz w:val="22"/>
              </w:rPr>
              <w:t xml:space="preserve">Multifamily rental new construction</w:t>
            </w:r>
            <w:r>
              <w:rPr>
                <w:rFonts w:ascii="Calibri" w:hAnsi="Calibri"/>
                <w:color w:val="000000"/>
                <w:sz w:val="22"/>
              </w:rPr>
              <w:br/>
              <w:t xml:space="preserve"/>
            </w:r>
            <w:r>
              <w:rPr>
                <w:rFonts w:ascii="Calibri" w:hAnsi="Calibri"/>
                <w:color w:val="000000"/>
                <w:sz w:val="22"/>
              </w:rPr>
              <w:t xml:space="preserve">Multifamily rental rehab</w:t>
            </w:r>
            <w:r>
              <w:rPr>
                <w:rFonts w:ascii="Calibri" w:hAnsi="Calibri"/>
                <w:color w:val="000000"/>
                <w:sz w:val="22"/>
              </w:rPr>
              <w:br/>
              <w:t xml:space="preserve"/>
            </w:r>
            <w:r>
              <w:rPr>
                <w:rFonts w:ascii="Calibri" w:hAnsi="Calibri"/>
                <w:color w:val="000000"/>
                <w:sz w:val="22"/>
              </w:rPr>
              <w:t xml:space="preserve">New construction for ownership</w:t>
            </w:r>
            <w:r>
              <w:rPr>
                <w:rFonts w:ascii="Calibri" w:hAnsi="Calibri"/>
                <w:color w:val="000000"/>
                <w:sz w:val="22"/>
              </w:rPr>
              <w:br/>
              <w:t xml:space="preserve"/>
            </w:r>
            <w:r>
              <w:rPr>
                <w:rFonts w:ascii="Calibri" w:hAnsi="Calibri"/>
                <w:color w:val="000000"/>
                <w:sz w:val="22"/>
              </w:rPr>
              <w:t xml:space="preserve">TBRA</w:t>
            </w:r>
          </w:p>
        </w:tc>
        <w:tc>
          <w:tcPr>
            <w:vAlign w:val="bottom"/>
          </w:tcPr>
          <w:p>
            <w:pPr>
              <w:spacing w:beforeAutospacing="true" w:afterAutospacing="true"/>
              <w:jc w:val="right"/>
            </w:pPr>
            <w:r>
              <w:rPr>
                <w:rFonts w:ascii="Calibri" w:hAnsi="Calibri"/>
                <w:color w:val="000000"/>
                <w:sz w:val="22"/>
              </w:rPr>
              <w:t xml:space="preserve">461,149</w:t>
            </w:r>
          </w:p>
        </w:tc>
        <w:tc>
          <w:tcPr>
            <w:vAlign w:val="bottom"/>
          </w:tcPr>
          <w:p>
            <w:pPr>
              <w:spacing w:beforeAutospacing="true" w:afterAutospacing="true"/>
              <w:jc w:val="right"/>
            </w:pPr>
            <w:r>
              <w:rPr>
                <w:rFonts w:ascii="Calibri" w:hAnsi="Calibri"/>
                <w:color w:val="000000"/>
                <w:sz w:val="22"/>
              </w:rPr>
              <w:t xml:space="preserve">379,382</w:t>
            </w:r>
          </w:p>
        </w:tc>
        <w:tc>
          <w:tcPr>
            <w:vAlign w:val="bottom"/>
          </w:tcPr>
          <w:p>
            <w:pPr>
              <w:spacing w:beforeAutospacing="true" w:afterAutospacing="true"/>
              <w:jc w:val="right"/>
            </w:pPr>
            <w:r>
              <w:rPr>
                <w:rFonts w:ascii="Calibri" w:hAnsi="Calibri"/>
                <w:color w:val="000000"/>
                <w:sz w:val="22"/>
              </w:rPr>
              <w:t xml:space="preserve">1,581,879</w:t>
            </w:r>
          </w:p>
        </w:tc>
        <w:tc>
          <w:tcPr>
            <w:vAlign w:val="bottom"/>
          </w:tcPr>
          <w:p>
            <w:pPr>
              <w:spacing w:beforeAutospacing="true" w:afterAutospacing="true"/>
              <w:jc w:val="right"/>
            </w:pPr>
            <w:r>
              <w:rPr>
                <w:rFonts w:ascii="Calibri" w:hAnsi="Calibri"/>
                <w:color w:val="000000"/>
                <w:sz w:val="22"/>
              </w:rPr>
              <w:t xml:space="preserve">2,422,410</w:t>
            </w:r>
          </w:p>
        </w:tc>
        <w:tc>
          <w:tcPr>
            <w:vAlign w:val="bottom"/>
          </w:tcPr>
          <w:p>
            <w:pPr>
              <w:spacing w:beforeAutospacing="true" w:afterAutospacing="true"/>
              <w:jc w:val="right"/>
            </w:pPr>
            <w:r>
              <w:rPr>
                <w:rFonts w:ascii="Calibri" w:hAnsi="Calibri"/>
                <w:color w:val="000000"/>
                <w:sz w:val="22"/>
              </w:rPr>
              <w:t xml:space="preserve">1,719,900</w:t>
            </w:r>
          </w:p>
        </w:tc>
        <w:tc>
          <w:tcPr>
            <w:vAlign w:val="top"/>
          </w:tcPr>
          <w:p>
            <w:pPr>
              <w:spacing w:beforeAutospacing="true" w:afterAutospacing="true"/>
              <w:jc w:val="left"/>
            </w:pPr>
            <w:r>
              <w:rPr>
                <w:rFonts w:ascii="Calibri" w:hAnsi="Calibri"/>
                <w:color w:val="000000"/>
                <w:sz w:val="22"/>
              </w:rPr>
              <w:t xml:space="preserve">The City allocates HOME funds to affordable housing projects.</w:t>
            </w:r>
          </w:p>
        </w:tc>
      </w:tr>
    </w:tbl>
    <w:p>
      <w:pPr>
        <w:pStyle w:val="Caption"/>
        <w:jc w:val="center"/>
        <w:rPr>
          <w:rFonts w:asciiTheme="minorHAnsi" w:hAnsiTheme="minorHAnsi"/>
        </w:rPr>
      </w:pPr>
      <w:r>
        <w:rPr>
          <w:rFonts w:asciiTheme="minorHAnsi" w:hAnsiTheme="minorHAnsi"/>
        </w:rPr>
        <w:t xml:space="preserve">Table </w:t>
        <w:fldChar w:fldCharType="begin"/>
        <w:instrText xml:space="preserve"> SEQ Table \* ARABIC </w:instrText>
        <w:fldChar w:fldCharType="separate"/>
        <w:t>1</w:t>
        <w:fldChar w:fldCharType="end"/>
        <w:t xml:space="preserve"> - Expected Resources – Priority Table</w:t>
      </w:r>
    </w:p>
    <w:p>
      <w:pPr>
        <w:spacing w:after="0" w:line="240" w:lineRule="auto"/>
        <w:rPr>
          <w:b/>
          <w:sz w:val="24"/>
          <w:szCs w:val="24"/>
        </w:rPr>
      </w:pPr>
    </w:p>
    <w:p>
      <w:pPr>
        <w:widowControl w:val="false"/>
        <w:rPr>
          <w:b/>
          <w:sz w:val="24"/>
          <w:szCs w:val="24"/>
        </w:rPr>
      </w:pPr>
      <w:r>
        <w:rPr>
          <w:b/>
          <w:sz w:val="24"/>
          <w:szCs w:val="24"/>
        </w:rPr>
        <w:t>Explain how federal funds will leverage those additional resources (private, state and local funds), including a description of how matching requirements will be satisfied</w:t>
      </w:r>
    </w:p>
    <w:p>
      <w:pPr>
        <w:widowControl w:val="false"/>
        <w:spacing w:beforeAutospacing="true" w:afterAutospacing="true"/>
        <w:rPr>
          <w:szCs w:val="24"/>
        </w:rPr>
      </w:pPr>
      <w:r>
        <w:rPr/>
        <w:t xml:space="preserve">The City uses former redevelopment funds with HOME funds to comply with the match requirement under the HOME program.  The City plans to use Housing Trust Funds from the County of Orange and the SB 2 funds from State along with HOME funds for affordable housing projects.  While there is no match requirement under the CDBG program, the City gives priority to projects or programs that leverage CDBG funds with other local and state funds. </w:t>
      </w:r>
    </w:p>
    <w:p>
      <w:pPr>
        <w:keepNext/>
        <w:widowControl w:val="false"/>
        <w:rPr>
          <w:b/>
          <w:sz w:val="24"/>
          <w:szCs w:val="24"/>
        </w:rPr>
        <w:sectPr>
          <w:pgSz w:w="15840" w:h="12240" w:orient="landscape" w:code="1"/>
          <w:pgMar w:top="1440" w:right="1440" w:bottom="1440" w:left="1440" w:header="720" w:footer="720" w:gutter="0"/>
          <w:cols w:space="720"/>
          <w:docGrid w:linePitch="360"/>
        </w:sectPr>
      </w:pPr>
    </w:p>
    <w:p>
      <w:pPr>
        <w:keepNext/>
        <w:widowControl w:val="false"/>
        <w:rPr>
          <w:b/>
          <w:sz w:val="24"/>
          <w:szCs w:val="24"/>
        </w:rPr>
      </w:pPr>
      <w:r>
        <w:rPr>
          <w:b/>
          <w:sz w:val="24"/>
          <w:szCs w:val="24"/>
        </w:rPr>
        <w:t>If appropriate, describe publically owned land or property located within the jurisdiction that may be used to address the needs identified in the plan</w:t>
      </w:r>
    </w:p>
    <w:p>
      <w:pPr>
        <w:keepNext/>
        <w:widowControl w:val="false"/>
        <w:spacing w:beforeAutospacing="true" w:afterAutospacing="true"/>
        <w:rPr>
          <w:szCs w:val="24"/>
        </w:rPr>
      </w:pPr>
      <w:r>
        <w:rPr/>
        <w:t xml:space="preserve">The City does not own land or property that could be used to address the needs in this plan.</w:t>
      </w:r>
    </w:p>
    <w:p>
      <w:pPr>
        <w:keepNext/>
        <w:widowControl w:val="false"/>
        <w:spacing w:line="204" w:lineRule="auto"/>
        <w:rPr>
          <w:b/>
          <w:sz w:val="24"/>
          <w:szCs w:val="24"/>
        </w:rPr>
      </w:pPr>
      <w:r>
        <w:rPr>
          <w:b/>
          <w:sz w:val="24"/>
          <w:szCs w:val="24"/>
        </w:rPr>
        <w:t>Discussion</w:t>
      </w:r>
    </w:p>
    <w:p>
      <w:pPr>
        <w:keepNext/>
        <w:widowControl w:val="false"/>
        <w:spacing w:beforeAutospacing="true" w:afterAutospacing="true"/>
        <w:rPr>
          <w:b/>
          <w:sz w:val="24"/>
          <w:szCs w:val="24"/>
        </w:rPr>
      </w:pPr>
      <w:r>
        <w:rPr/>
        <w:t xml:space="preserve">Refer to the above sections.</w:t>
      </w:r>
    </w:p>
    <w:p>
      <w:pPr>
        <w:pStyle w:val="Heading1"/>
        <w:pageBreakBefore/>
        <w:jc w:val="center"/>
        <w:rPr>
          <w:rFonts w:ascii="Calibri" w:hAnsi="Calibri"/>
          <w:color w:val="auto"/>
          <w:sz w:val="32"/>
          <w:szCs w:val="32"/>
        </w:rPr>
        <w:sectPr>
          <w:pgSz w:w="12240" w:h="15840" w:code="1"/>
          <w:pgMar w:top="1440" w:right="1440" w:bottom="1440" w:left="1440" w:header="720" w:footer="720" w:gutter="0"/>
          <w:cols w:space="720"/>
          <w:docGrid w:linePitch="360"/>
        </w:sectPr>
      </w:pPr>
    </w:p>
    <w:p>
      <w:pPr>
        <w:pStyle w:val="Heading1"/>
        <w:pageBreakBefore/>
        <w:jc w:val="center"/>
        <w:rPr>
          <w:rFonts w:ascii="Calibri" w:hAnsi="Calibri"/>
          <w:color w:val="auto"/>
          <w:sz w:val="32"/>
          <w:szCs w:val="32"/>
        </w:rPr>
      </w:pPr>
      <w:r>
        <w:rPr>
          <w:rFonts w:ascii="Calibri" w:hAnsi="Calibri"/>
          <w:color w:val="auto"/>
          <w:sz w:val="32"/>
          <w:szCs w:val="32"/>
        </w:rPr>
        <w:t>Annual Goals and Objectives</w:t>
      </w:r>
    </w:p>
    <w:p>
      <w:pPr>
        <w:rPr>
          <w:b/>
          <w:sz w:val="28"/>
          <w:szCs w:val="28"/>
        </w:rPr>
      </w:pPr>
    </w:p>
    <w:p>
      <w:pPr>
        <w:rPr>
          <w:b/>
          <w:sz w:val="28"/>
          <w:szCs w:val="28"/>
        </w:rPr>
      </w:pPr>
      <w:r>
        <w:rPr>
          <w:b/>
          <w:sz w:val="28"/>
          <w:szCs w:val="28"/>
        </w:rPr>
        <w:t>AP-20 Annual Goals and Objectives</w:t>
      </w:r>
    </w:p>
    <w:p>
      <w:pPr>
        <w:keepNext/>
        <w:widowControl w:val="false"/>
        <w:rPr>
          <w:b/>
          <w:sz w:val="24"/>
          <w:szCs w:val="24"/>
        </w:rPr>
      </w:pPr>
      <w:r>
        <w:rPr>
          <w:b/>
          <w:sz w:val="24"/>
          <w:szCs w:val="24"/>
        </w:rPr>
        <w:t>Goals Summary Information</w:t>
      </w:r>
    </w:p>
    <w:tbl>
      <w:tblPr>
        <w:tblW w:w="5342" w:type="pct"/>
        <w:tblInd w:w="1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firstRow="1" w:lastRow="1" w:firstColumn="1" w:lastColumn="1" w:noHBand="0" w:noVBand="0" w:val="01E0"/>
      </w:tblPr>
      <w:tblGrid>
        <w:gridCol w:w="1795"/>
        <w:gridCol w:w="1796"/>
        <w:gridCol w:w="620"/>
        <w:gridCol w:w="591"/>
        <w:gridCol w:w="1233"/>
        <w:gridCol w:w="1286"/>
        <w:gridCol w:w="1171"/>
        <w:gridCol w:w="2328"/>
        <w:gridCol w:w="3257"/>
      </w:tblGrid>
      <w:tr>
        <w:trPr>
          <w:cantSplit/>
          <w:trHeight w:val="486"/>
          <w:tblHeader/>
        </w:trPr>
        <w:tc>
          <w:tcPr>
            <w:tcW w:w="1808" w:type="dxa"/>
          </w:tcPr>
          <w:p>
            <w:pPr>
              <w:keepNext/>
              <w:widowControl w:val="false"/>
              <w:spacing w:after="0" w:line="240" w:lineRule="auto"/>
              <w:jc w:val="center"/>
              <w:rPr>
                <w:b/>
                <w:sz w:val="20"/>
                <w:szCs w:val="20"/>
              </w:rPr>
            </w:pPr>
            <w:r>
              <w:rPr>
                <w:b/>
                <w:sz w:val="20"/>
                <w:szCs w:val="20"/>
              </w:rPr>
              <w:t>Sort Order</w:t>
            </w:r>
          </w:p>
        </w:tc>
        <w:tc>
          <w:tcPr>
            <w:tcW w:w="1809" w:type="dxa"/>
          </w:tcPr>
          <w:p>
            <w:pPr>
              <w:keepNext/>
              <w:widowControl w:val="false"/>
              <w:spacing w:after="0" w:line="240" w:lineRule="auto"/>
              <w:jc w:val="center"/>
              <w:rPr>
                <w:b/>
                <w:sz w:val="20"/>
                <w:szCs w:val="20"/>
              </w:rPr>
            </w:pPr>
            <w:r>
              <w:rPr>
                <w:b/>
                <w:sz w:val="20"/>
                <w:szCs w:val="20"/>
              </w:rPr>
              <w:t>Goal Name</w:t>
            </w:r>
          </w:p>
        </w:tc>
        <w:tc>
          <w:tcPr>
            <w:tcW w:w="582" w:type="dxa"/>
          </w:tcPr>
          <w:p>
            <w:pPr>
              <w:keepNext/>
              <w:widowControl w:val="false"/>
              <w:spacing w:after="0" w:line="240" w:lineRule="auto"/>
              <w:jc w:val="center"/>
              <w:rPr>
                <w:b/>
                <w:sz w:val="20"/>
                <w:szCs w:val="20"/>
              </w:rPr>
            </w:pPr>
            <w:r>
              <w:rPr>
                <w:b/>
                <w:sz w:val="20"/>
                <w:szCs w:val="20"/>
              </w:rPr>
              <w:t>Start Year</w:t>
            </w:r>
          </w:p>
        </w:tc>
        <w:tc>
          <w:tcPr>
            <w:tcW w:w="555" w:type="dxa"/>
          </w:tcPr>
          <w:p>
            <w:pPr>
              <w:keepNext/>
              <w:widowControl w:val="false"/>
              <w:spacing w:after="0" w:line="240" w:lineRule="auto"/>
              <w:jc w:val="center"/>
              <w:rPr>
                <w:b/>
                <w:sz w:val="20"/>
                <w:szCs w:val="20"/>
              </w:rPr>
            </w:pPr>
            <w:r>
              <w:rPr>
                <w:b/>
                <w:sz w:val="20"/>
                <w:szCs w:val="20"/>
              </w:rPr>
              <w:t>End Year</w:t>
            </w:r>
          </w:p>
        </w:tc>
        <w:tc>
          <w:tcPr>
            <w:tcW w:w="1236" w:type="dxa"/>
          </w:tcPr>
          <w:p>
            <w:pPr>
              <w:keepNext/>
              <w:widowControl w:val="false"/>
              <w:spacing w:after="0" w:line="240" w:lineRule="auto"/>
              <w:jc w:val="center"/>
              <w:rPr>
                <w:b/>
                <w:sz w:val="20"/>
                <w:szCs w:val="20"/>
              </w:rPr>
            </w:pPr>
            <w:r>
              <w:rPr>
                <w:b/>
                <w:sz w:val="20"/>
                <w:szCs w:val="20"/>
              </w:rPr>
              <w:t>Category</w:t>
            </w:r>
          </w:p>
        </w:tc>
        <w:tc>
          <w:tcPr>
            <w:tcW w:w="1287" w:type="dxa"/>
          </w:tcPr>
          <w:p>
            <w:pPr>
              <w:keepNext/>
              <w:widowControl w:val="false"/>
              <w:spacing w:after="0" w:line="240" w:lineRule="auto"/>
              <w:jc w:val="center"/>
              <w:rPr>
                <w:b/>
                <w:sz w:val="20"/>
                <w:szCs w:val="20"/>
              </w:rPr>
            </w:pPr>
            <w:r>
              <w:rPr>
                <w:b/>
                <w:sz w:val="20"/>
                <w:szCs w:val="20"/>
              </w:rPr>
              <w:t>Geographic Area</w:t>
            </w:r>
          </w:p>
        </w:tc>
        <w:tc>
          <w:tcPr>
            <w:tcW w:w="1172" w:type="dxa"/>
          </w:tcPr>
          <w:p>
            <w:pPr>
              <w:keepNext/>
              <w:widowControl w:val="false"/>
              <w:spacing w:after="0" w:line="240" w:lineRule="auto"/>
              <w:jc w:val="center"/>
              <w:rPr>
                <w:b/>
                <w:sz w:val="20"/>
                <w:szCs w:val="20"/>
              </w:rPr>
            </w:pPr>
            <w:r>
              <w:rPr>
                <w:b/>
                <w:sz w:val="20"/>
                <w:szCs w:val="20"/>
              </w:rPr>
              <w:t>Needs Addressed</w:t>
            </w:r>
          </w:p>
        </w:tc>
        <w:tc>
          <w:tcPr>
            <w:tcW w:w="2345" w:type="dxa"/>
          </w:tcPr>
          <w:p>
            <w:pPr>
              <w:keepNext/>
              <w:widowControl w:val="false"/>
              <w:spacing w:after="0" w:line="240" w:lineRule="auto"/>
              <w:jc w:val="center"/>
              <w:rPr>
                <w:b/>
                <w:sz w:val="20"/>
                <w:szCs w:val="20"/>
              </w:rPr>
            </w:pPr>
            <w:r>
              <w:rPr>
                <w:b/>
                <w:sz w:val="20"/>
                <w:szCs w:val="20"/>
              </w:rPr>
              <w:t>Funding</w:t>
            </w:r>
          </w:p>
        </w:tc>
        <w:tc>
          <w:tcPr>
            <w:tcW w:w="3283" w:type="dxa"/>
          </w:tcPr>
          <w:p>
            <w:pPr>
              <w:keepNext/>
              <w:widowControl w:val="false"/>
              <w:spacing w:after="0" w:line="240" w:lineRule="auto"/>
              <w:jc w:val="center"/>
              <w:rPr>
                <w:b/>
                <w:sz w:val="20"/>
                <w:szCs w:val="20"/>
              </w:rPr>
            </w:pPr>
            <w:r>
              <w:rPr>
                <w:b/>
                <w:sz w:val="20"/>
                <w:szCs w:val="20"/>
              </w:rPr>
              <w:t>Goal Outcome Indicator</w:t>
            </w:r>
          </w:p>
        </w:tc>
      </w:tr>
      <w:tr>
        <w:trPr>
          <w:cantSplit w:val="true"/>
        </w:trPr>
        <w:tc>
          <w:tcPr>
            <w:vAlign w:val="top"/>
          </w:tcPr>
          <w:p>
            <w:pPr>
              <w:spacing w:beforeAutospacing="true" w:afterAutospacing="true"/>
              <w:jc w:val="left"/>
            </w:pPr>
            <w:r>
              <w:rPr>
                <w:rFonts w:ascii="Calibri" w:hAnsi="Calibri"/>
                <w:b/>
                <w:color w:val="000000"/>
                <w:sz w:val="22"/>
              </w:rPr>
              <w:t xml:space="preserve">1</w:t>
            </w:r>
          </w:p>
        </w:tc>
        <w:tc>
          <w:tcPr>
            <w:vAlign w:val="top"/>
          </w:tcPr>
          <w:p>
            <w:pPr>
              <w:spacing w:beforeAutospacing="true" w:afterAutospacing="true"/>
              <w:jc w:val="left"/>
            </w:pPr>
            <w:r>
              <w:rPr>
                <w:rFonts w:ascii="Calibri" w:hAnsi="Calibri"/>
                <w:color w:val="000000"/>
                <w:sz w:val="22"/>
              </w:rPr>
              <w:t xml:space="preserve">Affordable Housing</w:t>
            </w:r>
          </w:p>
        </w:tc>
        <w:tc>
          <w:tcPr>
            <w:vAlign w:val="top"/>
          </w:tcPr>
          <w:p>
            <w:pPr>
              <w:spacing w:beforeAutospacing="true" w:afterAutospacing="true"/>
              <w:jc w:val="right"/>
            </w:pPr>
            <w:r>
              <w:rPr>
                <w:rFonts w:ascii="Calibri" w:hAnsi="Calibri"/>
                <w:color w:val="000000"/>
                <w:sz w:val="22"/>
              </w:rPr>
              <w:t xml:space="preserve">2020</w:t>
            </w:r>
          </w:p>
        </w:tc>
        <w:tc>
          <w:tcPr>
            <w:vAlign w:val="top"/>
          </w:tcPr>
          <w:p>
            <w:pPr>
              <w:spacing w:beforeAutospacing="true" w:afterAutospacing="true"/>
              <w:jc w:val="right"/>
            </w:pPr>
            <w:r>
              <w:rPr>
                <w:rFonts w:ascii="Calibri" w:hAnsi="Calibri"/>
                <w:color w:val="000000"/>
                <w:sz w:val="22"/>
              </w:rPr>
              <w:t xml:space="preserve">2024</w:t>
            </w:r>
          </w:p>
        </w:tc>
        <w:tc>
          <w:tcPr>
            <w:vAlign w:val="top"/>
          </w:tcPr>
          <w:p>
            <w:pPr>
              <w:spacing w:beforeAutospacing="true" w:afterAutospacing="true"/>
              <w:jc w:val="left"/>
            </w:pPr>
            <w:r>
              <w:rPr>
                <w:rFonts w:ascii="Calibri" w:hAnsi="Calibri"/>
                <w:color w:val="000000"/>
                <w:sz w:val="22"/>
              </w:rPr>
              <w:t xml:space="preserve">Affordable Housing</w:t>
            </w:r>
          </w:p>
        </w:tc>
        <w:tc>
          <w:tcPr>
            <w:vAlign w:val="top"/>
          </w:tcPr>
          <w:p>
            <w:pPr>
              <w:spacing w:beforeAutospacing="true" w:afterAutospacing="true"/>
              <w:jc w:val="left"/>
            </w:pPr>
            <w:r>
              <w:rPr>
                <w:rFonts w:ascii="Calibri" w:hAnsi="Calibri"/>
                <w:color w:val="000000"/>
                <w:sz w:val="22"/>
              </w:rPr>
              <w:t xml:space="preserve"> </w:t>
            </w:r>
          </w:p>
        </w:tc>
        <w:tc>
          <w:tcPr>
            <w:vAlign w:val="top"/>
          </w:tcPr>
          <w:p>
            <w:pPr>
              <w:spacing w:beforeAutospacing="true" w:afterAutospacing="true"/>
              <w:jc w:val="left"/>
            </w:pPr>
            <w:r>
              <w:rPr>
                <w:rFonts w:ascii="Calibri" w:hAnsi="Calibri"/>
                <w:color w:val="000000"/>
                <w:sz w:val="22"/>
              </w:rPr>
              <w:t xml:space="preserve">Affordable Housing</w:t>
            </w:r>
          </w:p>
        </w:tc>
        <w:tc>
          <w:tcPr>
            <w:vAlign w:val="top"/>
          </w:tcPr>
          <w:p>
            <w:pPr>
              <w:spacing w:beforeAutospacing="true" w:afterAutospacing="true"/>
              <w:jc w:val="right"/>
            </w:pPr>
            <w:r>
              <w:rPr>
                <w:rFonts w:ascii="Calibri" w:hAnsi="Calibri"/>
                <w:color w:val="000000"/>
                <w:sz w:val="22"/>
              </w:rPr>
              <w:t xml:space="preserve">HOME: $1,600,000</w:t>
            </w:r>
          </w:p>
        </w:tc>
        <w:tc>
          <w:tcPr>
            <w:vAlign w:val="top"/>
          </w:tcPr>
          <w:p>
            <w:pPr>
              <w:spacing w:beforeAutospacing="true" w:afterAutospacing="true"/>
              <w:jc w:val="left"/>
            </w:pPr>
            <w:r>
              <w:rPr>
                <w:rFonts w:ascii="Calibri" w:hAnsi="Calibri"/>
                <w:color w:val="000000"/>
                <w:sz w:val="22"/>
              </w:rPr>
              <w:t xml:space="preserve">Rental units constructed: 62 Household Housing Unit</w:t>
            </w:r>
          </w:p>
        </w:tc>
      </w:tr>
      <w:tr>
        <w:trPr>
          <w:cantSplit w:val="true"/>
        </w:trPr>
        <w:tc>
          <w:tcPr>
            <w:vAlign w:val="top"/>
          </w:tcPr>
          <w:p>
            <w:pPr>
              <w:spacing w:beforeAutospacing="true" w:afterAutospacing="true"/>
              <w:jc w:val="left"/>
            </w:pPr>
            <w:r>
              <w:rPr>
                <w:rFonts w:ascii="Calibri" w:hAnsi="Calibri"/>
                <w:b/>
                <w:color w:val="000000"/>
                <w:sz w:val="22"/>
              </w:rPr>
              <w:t xml:space="preserve">2</w:t>
            </w:r>
          </w:p>
        </w:tc>
        <w:tc>
          <w:tcPr>
            <w:vAlign w:val="top"/>
          </w:tcPr>
          <w:p>
            <w:pPr>
              <w:spacing w:beforeAutospacing="true" w:afterAutospacing="true"/>
              <w:jc w:val="left"/>
            </w:pPr>
            <w:r>
              <w:rPr>
                <w:rFonts w:ascii="Calibri" w:hAnsi="Calibri"/>
                <w:color w:val="000000"/>
                <w:sz w:val="22"/>
              </w:rPr>
              <w:t xml:space="preserve">Homelessness</w:t>
            </w:r>
          </w:p>
        </w:tc>
        <w:tc>
          <w:tcPr>
            <w:vAlign w:val="top"/>
          </w:tcPr>
          <w:p>
            <w:pPr>
              <w:spacing w:beforeAutospacing="true" w:afterAutospacing="true"/>
              <w:jc w:val="right"/>
            </w:pPr>
            <w:r>
              <w:rPr>
                <w:rFonts w:ascii="Calibri" w:hAnsi="Calibri"/>
                <w:color w:val="000000"/>
                <w:sz w:val="22"/>
              </w:rPr>
              <w:t xml:space="preserve">2020</w:t>
            </w:r>
          </w:p>
        </w:tc>
        <w:tc>
          <w:tcPr>
            <w:vAlign w:val="top"/>
          </w:tcPr>
          <w:p>
            <w:pPr>
              <w:spacing w:beforeAutospacing="true" w:afterAutospacing="true"/>
              <w:jc w:val="right"/>
            </w:pPr>
            <w:r>
              <w:rPr>
                <w:rFonts w:ascii="Calibri" w:hAnsi="Calibri"/>
                <w:color w:val="000000"/>
                <w:sz w:val="22"/>
              </w:rPr>
              <w:t xml:space="preserve">2024</w:t>
            </w:r>
          </w:p>
        </w:tc>
        <w:tc>
          <w:tcPr>
            <w:vAlign w:val="top"/>
          </w:tcPr>
          <w:p>
            <w:pPr>
              <w:spacing w:beforeAutospacing="true" w:afterAutospacing="true"/>
              <w:jc w:val="left"/>
            </w:pPr>
            <w:r>
              <w:rPr>
                <w:rFonts w:ascii="Calibri" w:hAnsi="Calibri"/>
                <w:color w:val="000000"/>
                <w:sz w:val="22"/>
              </w:rPr>
              <w:t xml:space="preserve">Homeless</w:t>
            </w:r>
          </w:p>
        </w:tc>
        <w:tc>
          <w:tcPr>
            <w:vAlign w:val="top"/>
          </w:tcPr>
          <w:p>
            <w:pPr>
              <w:spacing w:beforeAutospacing="true" w:afterAutospacing="true"/>
              <w:jc w:val="left"/>
            </w:pPr>
            <w:r>
              <w:rPr>
                <w:rFonts w:ascii="Calibri" w:hAnsi="Calibri"/>
                <w:color w:val="000000"/>
                <w:sz w:val="22"/>
              </w:rPr>
              <w:t xml:space="preserve"> </w:t>
            </w:r>
          </w:p>
        </w:tc>
        <w:tc>
          <w:tcPr>
            <w:vAlign w:val="top"/>
          </w:tcPr>
          <w:p>
            <w:pPr>
              <w:spacing w:beforeAutospacing="true" w:afterAutospacing="true"/>
              <w:jc w:val="left"/>
            </w:pPr>
            <w:r>
              <w:rPr>
                <w:rFonts w:ascii="Calibri" w:hAnsi="Calibri"/>
                <w:color w:val="000000"/>
                <w:sz w:val="22"/>
              </w:rPr>
              <w:t xml:space="preserve">Homelessness</w:t>
            </w:r>
          </w:p>
        </w:tc>
        <w:tc>
          <w:tcPr>
            <w:vAlign w:val="top"/>
          </w:tcPr>
          <w:p>
            <w:pPr>
              <w:spacing w:beforeAutospacing="true" w:afterAutospacing="true"/>
              <w:jc w:val="right"/>
            </w:pPr>
            <w:r>
              <w:rPr>
                <w:rFonts w:ascii="Calibri" w:hAnsi="Calibri"/>
                <w:color w:val="000000"/>
                <w:sz w:val="22"/>
              </w:rPr>
              <w:t xml:space="preserve">CDBG: $0</w:t>
            </w:r>
            <w:r>
              <w:rPr>
                <w:rFonts w:ascii="Calibri" w:hAnsi="Calibri"/>
                <w:color w:val="000000"/>
                <w:sz w:val="22"/>
              </w:rPr>
              <w:br/>
              <w:t xml:space="preserve"/>
            </w:r>
            <w:r>
              <w:rPr>
                <w:rFonts w:ascii="Calibri" w:hAnsi="Calibri"/>
                <w:color w:val="000000"/>
                <w:sz w:val="22"/>
              </w:rPr>
              <w:t xml:space="preserve">HOME: $0</w:t>
            </w:r>
          </w:p>
        </w:tc>
        <w:tc>
          <w:tcPr>
            <w:vAlign w:val="top"/>
          </w:tcPr>
          <w:p>
            <w:pPr>
              <w:spacing w:beforeAutospacing="true" w:afterAutospacing="true"/>
              <w:jc w:val="left"/>
            </w:pPr>
            <w:r>
              <w:rPr>
                <w:rFonts w:ascii="Calibri" w:hAnsi="Calibri"/>
                <w:color w:val="000000"/>
                <w:sz w:val="22"/>
              </w:rPr>
              <w:t xml:space="preserve">Housing for Homeless added: 0 Household Housing Unit</w:t>
            </w:r>
          </w:p>
        </w:tc>
      </w:tr>
      <w:tr>
        <w:trPr>
          <w:cantSplit w:val="true"/>
        </w:trPr>
        <w:tc>
          <w:tcPr>
            <w:vAlign w:val="top"/>
          </w:tcPr>
          <w:p>
            <w:pPr>
              <w:spacing w:beforeAutospacing="true" w:afterAutospacing="true"/>
              <w:jc w:val="left"/>
            </w:pPr>
            <w:r>
              <w:rPr>
                <w:rFonts w:ascii="Calibri" w:hAnsi="Calibri"/>
                <w:b/>
                <w:color w:val="000000"/>
                <w:sz w:val="22"/>
              </w:rPr>
              <w:t xml:space="preserve">3</w:t>
            </w:r>
          </w:p>
        </w:tc>
        <w:tc>
          <w:tcPr>
            <w:vAlign w:val="top"/>
          </w:tcPr>
          <w:p>
            <w:pPr>
              <w:spacing w:beforeAutospacing="true" w:afterAutospacing="true"/>
              <w:jc w:val="left"/>
            </w:pPr>
            <w:r>
              <w:rPr>
                <w:rFonts w:ascii="Calibri" w:hAnsi="Calibri"/>
                <w:color w:val="000000"/>
                <w:sz w:val="22"/>
              </w:rPr>
              <w:t xml:space="preserve">Community Development</w:t>
            </w:r>
          </w:p>
        </w:tc>
        <w:tc>
          <w:tcPr>
            <w:vAlign w:val="top"/>
          </w:tcPr>
          <w:p>
            <w:pPr>
              <w:spacing w:beforeAutospacing="true" w:afterAutospacing="true"/>
              <w:jc w:val="right"/>
            </w:pPr>
            <w:r>
              <w:rPr>
                <w:rFonts w:ascii="Calibri" w:hAnsi="Calibri"/>
                <w:color w:val="000000"/>
                <w:sz w:val="22"/>
              </w:rPr>
              <w:t xml:space="preserve">2020</w:t>
            </w:r>
          </w:p>
        </w:tc>
        <w:tc>
          <w:tcPr>
            <w:vAlign w:val="top"/>
          </w:tcPr>
          <w:p>
            <w:pPr>
              <w:spacing w:beforeAutospacing="true" w:afterAutospacing="true"/>
              <w:jc w:val="right"/>
            </w:pPr>
            <w:r>
              <w:rPr>
                <w:rFonts w:ascii="Calibri" w:hAnsi="Calibri"/>
                <w:color w:val="000000"/>
                <w:sz w:val="22"/>
              </w:rPr>
              <w:t xml:space="preserve">2024</w:t>
            </w:r>
          </w:p>
        </w:tc>
        <w:tc>
          <w:tcPr>
            <w:vAlign w:val="top"/>
          </w:tcPr>
          <w:p>
            <w:pPr>
              <w:spacing w:beforeAutospacing="true" w:afterAutospacing="true"/>
              <w:jc w:val="left"/>
            </w:pPr>
            <w:r>
              <w:rPr>
                <w:rFonts w:ascii="Calibri" w:hAnsi="Calibri"/>
                <w:color w:val="000000"/>
                <w:sz w:val="22"/>
              </w:rPr>
              <w:t xml:space="preserve">Non-Housing Community Development</w:t>
            </w:r>
          </w:p>
        </w:tc>
        <w:tc>
          <w:tcPr>
            <w:vAlign w:val="top"/>
          </w:tcPr>
          <w:p>
            <w:pPr>
              <w:spacing w:beforeAutospacing="true" w:afterAutospacing="true"/>
              <w:jc w:val="left"/>
            </w:pPr>
            <w:r>
              <w:rPr>
                <w:rFonts w:ascii="Calibri" w:hAnsi="Calibri"/>
                <w:color w:val="000000"/>
                <w:sz w:val="22"/>
              </w:rPr>
              <w:t xml:space="preserve"> </w:t>
            </w:r>
          </w:p>
        </w:tc>
        <w:tc>
          <w:tcPr>
            <w:vAlign w:val="top"/>
          </w:tcPr>
          <w:p>
            <w:pPr>
              <w:spacing w:beforeAutospacing="true" w:afterAutospacing="true"/>
              <w:jc w:val="left"/>
            </w:pPr>
            <w:r>
              <w:rPr>
                <w:rFonts w:ascii="Calibri" w:hAnsi="Calibri"/>
                <w:color w:val="000000"/>
                <w:sz w:val="22"/>
              </w:rPr>
              <w:t xml:space="preserve">Community Development</w:t>
            </w:r>
          </w:p>
        </w:tc>
        <w:tc>
          <w:tcPr>
            <w:vAlign w:val="top"/>
          </w:tcPr>
          <w:p>
            <w:pPr>
              <w:spacing w:beforeAutospacing="true" w:afterAutospacing="true"/>
              <w:jc w:val="right"/>
            </w:pPr>
            <w:r>
              <w:rPr>
                <w:rFonts w:ascii="Calibri" w:hAnsi="Calibri"/>
                <w:color w:val="000000"/>
                <w:sz w:val="22"/>
              </w:rPr>
              <w:t xml:space="preserve">CDBG: $1,300,000</w:t>
            </w:r>
            <w:r>
              <w:rPr>
                <w:rFonts w:ascii="Calibri" w:hAnsi="Calibri"/>
                <w:color w:val="000000"/>
                <w:sz w:val="22"/>
              </w:rPr>
              <w:br/>
              <w:t xml:space="preserve"/>
            </w:r>
            <w:r>
              <w:rPr>
                <w:rFonts w:ascii="Calibri" w:hAnsi="Calibri"/>
                <w:color w:val="000000"/>
                <w:sz w:val="22"/>
              </w:rPr>
              <w:t xml:space="preserve">HOME: $0</w:t>
            </w:r>
          </w:p>
        </w:tc>
        <w:tc>
          <w:tcPr>
            <w:vAlign w:val="top"/>
          </w:tcPr>
          <w:p>
            <w:pPr>
              <w:spacing w:beforeAutospacing="true" w:afterAutospacing="true"/>
              <w:jc w:val="left"/>
            </w:pPr>
            <w:r>
              <w:rPr>
                <w:rFonts w:ascii="Calibri" w:hAnsi="Calibri"/>
                <w:color w:val="000000"/>
                <w:sz w:val="22"/>
              </w:rPr>
              <w:t xml:space="preserve">Public Facility or Infrastructure Activities other than Low/Moderate Income Housing Benefit: 3000 Persons Assisted</w:t>
            </w:r>
            <w:r>
              <w:rPr>
                <w:rFonts w:ascii="Calibri" w:hAnsi="Calibri"/>
                <w:color w:val="000000"/>
                <w:sz w:val="22"/>
              </w:rPr>
              <w:br/>
              <w:t xml:space="preserve"/>
            </w:r>
            <w:r>
              <w:rPr>
                <w:rFonts w:ascii="Calibri" w:hAnsi="Calibri"/>
                <w:color w:val="000000"/>
                <w:sz w:val="22"/>
              </w:rPr>
              <w:t xml:space="preserve">Public service activities other than Low/Moderate Income Housing Benefit: 10000 Persons Assisted</w:t>
            </w:r>
          </w:p>
        </w:tc>
      </w:tr>
    </w:tbl>
    <w:p>
      <w:pPr>
        <w:pStyle w:val="Caption"/>
        <w:jc w:val="center"/>
        <w:rPr>
          <w:rFonts w:asciiTheme="minorHAnsi" w:hAnsiTheme="minorHAnsi"/>
        </w:rPr>
      </w:pPr>
      <w:r>
        <w:rPr>
          <w:rFonts w:asciiTheme="minorHAnsi" w:hAnsiTheme="minorHAnsi"/>
        </w:rPr>
        <w:t xml:space="preserve">Table </w:t>
        <w:fldChar w:fldCharType="begin"/>
        <w:instrText xml:space="preserve"> SEQ Table \* ARABIC </w:instrText>
        <w:fldChar w:fldCharType="separate"/>
        <w:t>2</w:t>
        <w:fldChar w:fldCharType="end"/>
        <w:t xml:space="preserve"> – Goals Summary</w:t>
      </w:r>
    </w:p>
    <w:p/>
    <w:p>
      <w:pPr>
        <w:rPr>
          <w:b/>
          <w:sz w:val="24"/>
          <w:szCs w:val="24"/>
        </w:rPr>
      </w:pPr>
      <w:r>
        <w:rPr>
          <w:b/>
          <w:sz w:val="24"/>
          <w:szCs w:val="24"/>
        </w:rPr>
        <w:t>Goal Descriptions</w:t>
      </w:r>
    </w:p>
    <w:p>
      <w:pPr>
        <w:rPr>
          <w:b/>
          <w:sz w:val="24"/>
          <w:szCs w:val="24"/>
        </w:rPr>
      </w:pPr>
    </w:p>
    <w:tbl>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Pr>
      <w:tblGrid/>
      <w:tr>
        <w:trPr>
          <w:cantSplit w:val="true"/>
        </w:trPr>
        <w:tc>
          <w:tcPr>
            <w:vMerge w:val="restart"/>
          </w:tcPr>
          <w:p>
            <w:pPr>
              <w:keepNext w:val="true"/>
              <w:spacing w:before="100" w:after="0"/>
            </w:pPr>
            <w:r>
              <w:rPr>
                <w:rFonts w:ascii="Calibri" w:hAnsi="Calibri"/>
                <w:b/>
                <w:color w:val="000000"/>
                <w:sz w:val="22"/>
              </w:rPr>
              <w:t xml:space="preserve">1</w:t>
            </w:r>
          </w:p>
        </w:tc>
        <w:tc>
          <w:p>
            <w:pPr>
              <w:keepNext w:val="true"/>
              <w:spacing w:before="100" w:after="0"/>
              <w:rPr>
                <w:b/>
              </w:rPr>
            </w:pPr>
            <w:r>
              <w:rPr>
                <w:b/>
              </w:rPr>
              <w:t>Goal Name</w:t>
            </w:r>
          </w:p>
        </w:tc>
        <w:tc>
          <w:p>
            <w:pPr>
              <w:spacing w:before="100" w:after="0"/>
            </w:pPr>
            <w:r>
              <w:rPr>
                <w:rFonts w:ascii="Calibri" w:hAnsi="Calibri"/>
                <w:color w:val="000000"/>
                <w:sz w:val="22"/>
              </w:rPr>
              <w:t xml:space="preserve">Affordable Housing</w:t>
            </w:r>
          </w:p>
        </w:tc>
      </w:tr>
      <w:tr>
        <w:trPr>
          <w:cantSplit w:val="true"/>
        </w:trPr>
        <w:tc>
          <w:tcPr>
            <w:vMerge/>
          </w:tcPr>
          <w:p/>
        </w:tc>
        <w:tc>
          <w:p>
            <w:pPr>
              <w:keepNext w:val="true"/>
              <w:spacing w:before="100" w:after="0"/>
              <w:rPr>
                <w:b/>
              </w:rPr>
            </w:pPr>
            <w:r>
              <w:rPr>
                <w:b/>
              </w:rPr>
              <w:t>Goal Description</w:t>
            </w:r>
          </w:p>
        </w:tc>
        <w:tc>
          <w:p>
            <w:pPr>
              <w:spacing w:before="100" w:after="0"/>
            </w:pPr>
            <w:r>
              <w:rPr>
                <w:rFonts w:ascii="Calibri" w:hAnsi="Calibri"/>
                <w:color w:val="000000"/>
                <w:sz w:val="22"/>
              </w:rPr>
              <w:t xml:space="preserve">Providing 62 affordable rental housing units.</w:t>
            </w:r>
          </w:p>
        </w:tc>
      </w:tr>
      <w:tr>
        <w:trPr>
          <w:cantSplit w:val="true"/>
        </w:trPr>
        <w:tc>
          <w:tcPr>
            <w:vMerge w:val="restart"/>
          </w:tcPr>
          <w:p>
            <w:pPr>
              <w:keepNext w:val="true"/>
              <w:spacing w:before="100" w:after="0"/>
            </w:pPr>
            <w:r>
              <w:rPr>
                <w:rFonts w:ascii="Calibri" w:hAnsi="Calibri"/>
                <w:b/>
                <w:color w:val="000000"/>
                <w:sz w:val="22"/>
              </w:rPr>
              <w:t xml:space="preserve">2</w:t>
            </w:r>
          </w:p>
        </w:tc>
        <w:tc>
          <w:p>
            <w:pPr>
              <w:keepNext w:val="true"/>
              <w:spacing w:before="100" w:after="0"/>
              <w:rPr>
                <w:b/>
              </w:rPr>
            </w:pPr>
            <w:r>
              <w:rPr>
                <w:b/>
              </w:rPr>
              <w:t>Goal Name</w:t>
            </w:r>
          </w:p>
        </w:tc>
        <w:tc>
          <w:p>
            <w:pPr>
              <w:spacing w:before="100" w:after="0"/>
            </w:pPr>
            <w:r>
              <w:rPr>
                <w:rFonts w:ascii="Calibri" w:hAnsi="Calibri"/>
                <w:color w:val="000000"/>
                <w:sz w:val="22"/>
              </w:rPr>
              <w:t xml:space="preserve">Homelessness</w:t>
            </w:r>
          </w:p>
        </w:tc>
      </w:tr>
      <w:tr>
        <w:trPr>
          <w:cantSplit w:val="true"/>
        </w:trPr>
        <w:tc>
          <w:tcPr>
            <w:vMerge/>
          </w:tcPr>
          <w:p/>
        </w:tc>
        <w:tc>
          <w:p>
            <w:pPr>
              <w:keepNext w:val="true"/>
              <w:spacing w:before="100" w:after="0"/>
              <w:rPr>
                <w:b/>
              </w:rPr>
            </w:pPr>
            <w:r>
              <w:rPr>
                <w:b/>
              </w:rPr>
              <w:t>Goal Description</w:t>
            </w:r>
          </w:p>
        </w:tc>
        <w:tc>
          <w:p>
            <w:pPr>
              <w:spacing w:before="100" w:after="0"/>
            </w:pPr>
            <w:r>
              <w:rPr>
                <w:rFonts w:ascii="Calibri" w:hAnsi="Calibri"/>
                <w:color w:val="000000"/>
                <w:sz w:val="22"/>
              </w:rPr>
              <w:t xml:space="preserve">Providing housing for homeless population.</w:t>
            </w:r>
          </w:p>
        </w:tc>
      </w:tr>
      <w:tr>
        <w:trPr>
          <w:cantSplit w:val="true"/>
        </w:trPr>
        <w:tc>
          <w:tcPr>
            <w:vMerge w:val="restart"/>
          </w:tcPr>
          <w:p>
            <w:pPr>
              <w:keepNext w:val="true"/>
              <w:spacing w:before="100" w:after="0"/>
            </w:pPr>
            <w:r>
              <w:rPr>
                <w:rFonts w:ascii="Calibri" w:hAnsi="Calibri"/>
                <w:b/>
                <w:color w:val="000000"/>
                <w:sz w:val="22"/>
              </w:rPr>
              <w:t xml:space="preserve">3</w:t>
            </w:r>
          </w:p>
        </w:tc>
        <w:tc>
          <w:p>
            <w:pPr>
              <w:keepNext w:val="true"/>
              <w:spacing w:before="100" w:after="0"/>
              <w:rPr>
                <w:b/>
              </w:rPr>
            </w:pPr>
            <w:r>
              <w:rPr>
                <w:b/>
              </w:rPr>
              <w:t>Goal Name</w:t>
            </w:r>
          </w:p>
        </w:tc>
        <w:tc>
          <w:p>
            <w:pPr>
              <w:spacing w:before="100" w:after="0"/>
            </w:pPr>
            <w:r>
              <w:rPr>
                <w:rFonts w:ascii="Calibri" w:hAnsi="Calibri"/>
                <w:color w:val="000000"/>
                <w:sz w:val="22"/>
              </w:rPr>
              <w:t xml:space="preserve">Community Development</w:t>
            </w:r>
          </w:p>
        </w:tc>
      </w:tr>
      <w:tr>
        <w:trPr>
          <w:cantSplit w:val="true"/>
        </w:trPr>
        <w:tc>
          <w:tcPr>
            <w:vMerge/>
          </w:tcPr>
          <w:p/>
        </w:tc>
        <w:tc>
          <w:p>
            <w:pPr>
              <w:keepNext w:val="true"/>
              <w:spacing w:before="100" w:after="0"/>
              <w:rPr>
                <w:b/>
              </w:rPr>
            </w:pPr>
            <w:r>
              <w:rPr>
                <w:b/>
              </w:rPr>
              <w:t>Goal Description</w:t>
            </w:r>
          </w:p>
        </w:tc>
        <w:tc>
          <w:p>
            <w:pPr>
              <w:spacing w:before="100" w:after="0"/>
            </w:pPr>
            <w:r>
              <w:rPr>
                <w:rFonts w:ascii="Calibri" w:hAnsi="Calibri"/>
                <w:color w:val="000000"/>
                <w:sz w:val="22"/>
              </w:rPr>
              <w:t xml:space="preserve">Providing public services and public facilites improvement for low income neighborhoods.</w:t>
            </w:r>
          </w:p>
        </w:tc>
      </w:tr>
    </w:tbl>
    <w:p>
      <w:pPr>
        <w:keepNext/>
        <w:widowControl w:val="false"/>
        <w:jc w:val="center"/>
        <w:rPr>
          <w:b/>
          <w:sz w:val="20"/>
          <w:szCs w:val="20"/>
        </w:rPr>
      </w:pPr>
    </w:p>
    <w:p>
      <w:pPr>
        <w:rPr>
          <w:b/>
          <w:sz w:val="24"/>
          <w:szCs w:val="24"/>
        </w:rPr>
      </w:pPr>
    </w:p>
    <w:p>
      <w:pPr>
        <w:sectPr>
          <w:pgSz w:w="15840" w:h="12240" w:orient="landscape" w:code="1"/>
          <w:pgMar w:top="1440" w:right="1440" w:bottom="1440" w:left="1440" w:header="720" w:footer="720" w:gutter="0"/>
          <w:cols w:space="720"/>
          <w:docGrid w:linePitch="360"/>
        </w:sectPr>
      </w:pPr>
    </w:p>
    <w:p>
      <w:pPr>
        <w:pStyle w:val="Heading2"/>
        <w:jc w:val="center"/>
        <w:rPr>
          <w:rFonts w:ascii="Calibri" w:hAnsi="Calibri"/>
          <w:i w:val="false"/>
          <w:sz w:val="32"/>
          <w:szCs w:val="32"/>
        </w:rPr>
      </w:pPr>
      <w:r>
        <w:rPr>
          <w:rFonts w:ascii="Calibri" w:hAnsi="Calibri"/>
          <w:i w:val="false"/>
          <w:sz w:val="32"/>
          <w:szCs w:val="32"/>
        </w:rPr>
        <w:t xml:space="preserve">Projects </w:t>
      </w:r>
      <w:bookmarkStart w:id="1" w:name="_Toc309810475"/>
      <w:bookmarkEnd w:id="0"/>
    </w:p>
    <w:p>
      <w:pPr>
        <w:pStyle w:val="Heading2"/>
        <w:rPr>
          <w:rFonts w:ascii="Calibri" w:hAnsi="Calibri"/>
          <w:i w:val="false"/>
        </w:rPr>
      </w:pPr>
      <w:r>
        <w:rPr>
          <w:rFonts w:ascii="Calibri" w:hAnsi="Calibri"/>
          <w:i w:val="false"/>
        </w:rPr>
        <w:t>AP-35 Projects – 91.220(d)</w:t>
      </w:r>
    </w:p>
    <w:p>
      <w:pPr>
        <w:keepNext/>
        <w:widowControl w:val="false"/>
        <w:spacing w:line="204" w:lineRule="auto"/>
        <w:rPr>
          <w:b/>
          <w:sz w:val="24"/>
          <w:szCs w:val="24"/>
        </w:rPr>
      </w:pPr>
      <w:r>
        <w:rPr>
          <w:b/>
          <w:sz w:val="24"/>
          <w:szCs w:val="24"/>
        </w:rPr>
        <w:t xml:space="preserve">Introduction </w:t>
      </w:r>
    </w:p>
    <w:p>
      <w:pPr>
        <w:keepNext/>
        <w:widowControl w:val="false"/>
        <w:spacing w:beforeAutospacing="true" w:afterAutospacing="true"/>
        <w:rPr>
          <w:rFonts w:cs="Arial"/>
        </w:rPr>
      </w:pPr>
      <w:r>
        <w:rPr>
          <w:rFonts w:cs="Arial"/>
        </w:rPr>
        <w:t xml:space="preserve">The FY 2020-2021 Action Plan identifies housing and community development projects as high priority needs. The City will allocate the CDBG funds to public facilities projects including street improvement and library accessibility improvement as well as to public services programs such as “After School Program” for low-income youth. These projects funded under the CDBG program will address the needs of low and moderate income residents.</w:t>
      </w:r>
    </w:p>
    <w:p>
      <w:pPr>
        <w:keepNext/>
        <w:widowControl w:val="false"/>
        <w:spacing w:line="204" w:lineRule="auto"/>
        <w:rPr>
          <w:rFonts w:cs="Arial"/>
        </w:rPr>
      </w:pPr>
    </w:p>
    <w:p>
      <w:pPr>
        <w:keepNext/>
        <w:widowControl w:val="false"/>
        <w:spacing w:line="204" w:lineRule="auto"/>
        <w:rPr>
          <w:b/>
          <w:sz w:val="24"/>
          <w:szCs w:val="24"/>
        </w:rPr>
      </w:pPr>
      <w:r>
        <w:rPr>
          <w:rFonts w:cs="Arial"/>
          <w:b/>
        </w:rPr>
        <w:t>Projects</w:t>
      </w:r>
    </w:p>
    <w:tbl>
      <w:tblPr>
        <w:tblW w:w="0" w:type="auto"/>
        <w:tblInd w:w="1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firstRow="1" w:lastRow="1" w:firstColumn="1" w:lastColumn="1" w:noHBand="0" w:noVBand="0" w:val="01E0"/>
      </w:tblPr>
      <w:tblGrid>
        <w:gridCol w:w="2073"/>
        <w:gridCol w:w="7388"/>
      </w:tblGrid>
      <w:tr>
        <w:trPr>
          <w:cantSplit/>
          <w:tblHeader/>
        </w:trPr>
        <w:tc>
          <w:tcPr>
            <w:tcW w:w="0" w:type="auto"/>
          </w:tcPr>
          <w:p>
            <w:pPr>
              <w:keepNext/>
              <w:widowControl w:val="false"/>
              <w:spacing w:after="0" w:line="240" w:lineRule="auto"/>
              <w:jc w:val="center"/>
              <w:rPr>
                <w:b/>
              </w:rPr>
            </w:pPr>
            <w:r>
              <w:rPr>
                <w:b/>
              </w:rPr>
              <w:t>#</w:t>
            </w:r>
          </w:p>
        </w:tc>
        <w:tc>
          <w:tcPr>
            <w:tcW w:w="0" w:type="auto"/>
          </w:tcPr>
          <w:p>
            <w:pPr>
              <w:keepNext/>
              <w:widowControl w:val="false"/>
              <w:spacing w:after="0" w:line="240" w:lineRule="auto"/>
              <w:jc w:val="center"/>
              <w:rPr>
                <w:b/>
                <w:szCs w:val="24"/>
              </w:rPr>
            </w:pPr>
            <w:r>
              <w:rPr>
                <w:b/>
              </w:rPr>
              <w:t>Project Name</w:t>
            </w:r>
          </w:p>
        </w:tc>
      </w:tr>
      <w:tr>
        <w:trPr>
          <w:cantSplit w:val="true"/>
        </w:trPr>
        <w:tc>
          <w:tcPr>
            <w:vAlign w:val="bottom"/>
          </w:tcPr>
          <w:p>
            <w:pPr>
              <w:spacing w:beforeAutospacing="true" w:afterAutospacing="true"/>
              <w:jc w:val="right"/>
            </w:pPr>
            <w:r>
              <w:rPr>
                <w:rFonts w:ascii="Calibri" w:hAnsi="Calibri"/>
                <w:color w:val="000000"/>
                <w:sz w:val="22"/>
              </w:rPr>
              <w:t xml:space="preserve">1</w:t>
            </w:r>
          </w:p>
        </w:tc>
        <w:tc>
          <w:tcPr>
            <w:vAlign w:val="bottom"/>
          </w:tcPr>
          <w:p>
            <w:pPr>
              <w:spacing w:beforeAutospacing="true" w:afterAutospacing="true"/>
              <w:jc w:val="left"/>
            </w:pPr>
            <w:r>
              <w:rPr>
                <w:rFonts w:ascii="Calibri" w:hAnsi="Calibri"/>
                <w:color w:val="000000"/>
                <w:sz w:val="22"/>
              </w:rPr>
              <w:t xml:space="preserve">CDBG Program Administration</w:t>
            </w:r>
          </w:p>
        </w:tc>
      </w:tr>
      <w:tr>
        <w:trPr>
          <w:cantSplit w:val="true"/>
        </w:trPr>
        <w:tc>
          <w:tcPr>
            <w:vAlign w:val="bottom"/>
          </w:tcPr>
          <w:p>
            <w:pPr>
              <w:spacing w:beforeAutospacing="true" w:afterAutospacing="true"/>
              <w:jc w:val="right"/>
            </w:pPr>
            <w:r>
              <w:rPr>
                <w:rFonts w:ascii="Calibri" w:hAnsi="Calibri"/>
                <w:color w:val="000000"/>
                <w:sz w:val="22"/>
              </w:rPr>
              <w:t xml:space="preserve">2</w:t>
            </w:r>
          </w:p>
        </w:tc>
        <w:tc>
          <w:tcPr>
            <w:vAlign w:val="bottom"/>
          </w:tcPr>
          <w:p>
            <w:pPr>
              <w:spacing w:beforeAutospacing="true" w:afterAutospacing="true"/>
              <w:jc w:val="left"/>
            </w:pPr>
            <w:r>
              <w:rPr>
                <w:rFonts w:ascii="Calibri" w:hAnsi="Calibri"/>
                <w:color w:val="000000"/>
                <w:sz w:val="22"/>
              </w:rPr>
              <w:t xml:space="preserve">Fair Housing Program</w:t>
            </w:r>
          </w:p>
        </w:tc>
      </w:tr>
      <w:tr>
        <w:trPr>
          <w:cantSplit w:val="true"/>
        </w:trPr>
        <w:tc>
          <w:tcPr>
            <w:vAlign w:val="bottom"/>
          </w:tcPr>
          <w:p>
            <w:pPr>
              <w:spacing w:beforeAutospacing="true" w:afterAutospacing="true"/>
              <w:jc w:val="right"/>
            </w:pPr>
            <w:r>
              <w:rPr>
                <w:rFonts w:ascii="Calibri" w:hAnsi="Calibri"/>
                <w:color w:val="000000"/>
                <w:sz w:val="22"/>
              </w:rPr>
              <w:t xml:space="preserve">3</w:t>
            </w:r>
          </w:p>
        </w:tc>
        <w:tc>
          <w:tcPr>
            <w:vAlign w:val="bottom"/>
          </w:tcPr>
          <w:p>
            <w:pPr>
              <w:spacing w:beforeAutospacing="true" w:afterAutospacing="true"/>
              <w:jc w:val="left"/>
            </w:pPr>
            <w:r>
              <w:rPr>
                <w:rFonts w:ascii="Calibri" w:hAnsi="Calibri"/>
                <w:color w:val="000000"/>
                <w:sz w:val="22"/>
              </w:rPr>
              <w:t xml:space="preserve">ADA Wheelchair Access Ramps</w:t>
            </w:r>
          </w:p>
        </w:tc>
      </w:tr>
      <w:tr>
        <w:trPr>
          <w:cantSplit w:val="true"/>
        </w:trPr>
        <w:tc>
          <w:tcPr>
            <w:vAlign w:val="bottom"/>
          </w:tcPr>
          <w:p>
            <w:pPr>
              <w:spacing w:beforeAutospacing="true" w:afterAutospacing="true"/>
              <w:jc w:val="right"/>
            </w:pPr>
            <w:r>
              <w:rPr>
                <w:rFonts w:ascii="Calibri" w:hAnsi="Calibri"/>
                <w:color w:val="000000"/>
                <w:sz w:val="22"/>
              </w:rPr>
              <w:t xml:space="preserve">4</w:t>
            </w:r>
          </w:p>
        </w:tc>
        <w:tc>
          <w:tcPr>
            <w:vAlign w:val="bottom"/>
          </w:tcPr>
          <w:p>
            <w:pPr>
              <w:spacing w:beforeAutospacing="true" w:afterAutospacing="true"/>
              <w:jc w:val="left"/>
            </w:pPr>
            <w:r>
              <w:rPr>
                <w:rFonts w:ascii="Calibri" w:hAnsi="Calibri"/>
                <w:color w:val="000000"/>
                <w:sz w:val="22"/>
              </w:rPr>
              <w:t xml:space="preserve">Hoover Street Improvement</w:t>
            </w:r>
          </w:p>
        </w:tc>
      </w:tr>
      <w:tr>
        <w:trPr>
          <w:cantSplit w:val="true"/>
        </w:trPr>
        <w:tc>
          <w:tcPr>
            <w:vAlign w:val="bottom"/>
          </w:tcPr>
          <w:p>
            <w:pPr>
              <w:spacing w:beforeAutospacing="true" w:afterAutospacing="true"/>
              <w:jc w:val="right"/>
            </w:pPr>
            <w:r>
              <w:rPr>
                <w:rFonts w:ascii="Calibri" w:hAnsi="Calibri"/>
                <w:color w:val="000000"/>
                <w:sz w:val="22"/>
              </w:rPr>
              <w:t xml:space="preserve">5</w:t>
            </w:r>
          </w:p>
        </w:tc>
        <w:tc>
          <w:tcPr>
            <w:vAlign w:val="bottom"/>
          </w:tcPr>
          <w:p>
            <w:pPr>
              <w:spacing w:beforeAutospacing="true" w:afterAutospacing="true"/>
              <w:jc w:val="left"/>
            </w:pPr>
            <w:r>
              <w:rPr>
                <w:rFonts w:ascii="Calibri" w:hAnsi="Calibri"/>
                <w:color w:val="000000"/>
                <w:sz w:val="22"/>
              </w:rPr>
              <w:t xml:space="preserve">Library Accessibility Improvement</w:t>
            </w:r>
          </w:p>
        </w:tc>
      </w:tr>
      <w:tr>
        <w:trPr>
          <w:cantSplit w:val="true"/>
        </w:trPr>
        <w:tc>
          <w:tcPr>
            <w:vAlign w:val="bottom"/>
          </w:tcPr>
          <w:p>
            <w:pPr>
              <w:spacing w:beforeAutospacing="true" w:afterAutospacing="true"/>
              <w:jc w:val="right"/>
            </w:pPr>
            <w:r>
              <w:rPr>
                <w:rFonts w:ascii="Calibri" w:hAnsi="Calibri"/>
                <w:color w:val="000000"/>
                <w:sz w:val="22"/>
              </w:rPr>
              <w:t xml:space="preserve">6</w:t>
            </w:r>
          </w:p>
        </w:tc>
        <w:tc>
          <w:tcPr>
            <w:vAlign w:val="bottom"/>
          </w:tcPr>
          <w:p>
            <w:pPr>
              <w:spacing w:beforeAutospacing="true" w:afterAutospacing="true"/>
              <w:jc w:val="left"/>
            </w:pPr>
            <w:r>
              <w:rPr>
                <w:rFonts w:ascii="Calibri" w:hAnsi="Calibri"/>
                <w:color w:val="000000"/>
                <w:sz w:val="22"/>
              </w:rPr>
              <w:t xml:space="preserve">After-School Community Program</w:t>
            </w:r>
          </w:p>
        </w:tc>
      </w:tr>
      <w:tr>
        <w:trPr>
          <w:cantSplit w:val="true"/>
        </w:trPr>
        <w:tc>
          <w:tcPr>
            <w:vAlign w:val="bottom"/>
          </w:tcPr>
          <w:p>
            <w:pPr>
              <w:spacing w:beforeAutospacing="true" w:afterAutospacing="true"/>
              <w:jc w:val="right"/>
            </w:pPr>
            <w:r>
              <w:rPr>
                <w:rFonts w:ascii="Calibri" w:hAnsi="Calibri"/>
                <w:color w:val="000000"/>
                <w:sz w:val="22"/>
              </w:rPr>
              <w:t xml:space="preserve">7</w:t>
            </w:r>
          </w:p>
        </w:tc>
        <w:tc>
          <w:tcPr>
            <w:vAlign w:val="bottom"/>
          </w:tcPr>
          <w:p>
            <w:pPr>
              <w:spacing w:beforeAutospacing="true" w:afterAutospacing="true"/>
              <w:jc w:val="left"/>
            </w:pPr>
            <w:r>
              <w:rPr>
                <w:rFonts w:ascii="Calibri" w:hAnsi="Calibri"/>
                <w:color w:val="000000"/>
                <w:sz w:val="22"/>
              </w:rPr>
              <w:t xml:space="preserve">Bike Team Program</w:t>
            </w:r>
          </w:p>
        </w:tc>
      </w:tr>
      <w:tr>
        <w:trPr>
          <w:cantSplit w:val="true"/>
        </w:trPr>
        <w:tc>
          <w:tcPr>
            <w:vAlign w:val="bottom"/>
          </w:tcPr>
          <w:p>
            <w:pPr>
              <w:spacing w:beforeAutospacing="true" w:afterAutospacing="true"/>
              <w:jc w:val="right"/>
            </w:pPr>
            <w:r>
              <w:rPr>
                <w:rFonts w:ascii="Calibri" w:hAnsi="Calibri"/>
                <w:color w:val="000000"/>
                <w:sz w:val="22"/>
              </w:rPr>
              <w:t xml:space="preserve">8</w:t>
            </w:r>
          </w:p>
        </w:tc>
        <w:tc>
          <w:tcPr>
            <w:vAlign w:val="bottom"/>
          </w:tcPr>
          <w:p>
            <w:pPr>
              <w:spacing w:beforeAutospacing="true" w:afterAutospacing="true"/>
              <w:jc w:val="left"/>
            </w:pPr>
            <w:r>
              <w:rPr>
                <w:rFonts w:ascii="Calibri" w:hAnsi="Calibri"/>
                <w:color w:val="000000"/>
                <w:sz w:val="22"/>
              </w:rPr>
              <w:t xml:space="preserve">Assistance League of Orange-Operation School Bell</w:t>
            </w:r>
          </w:p>
        </w:tc>
      </w:tr>
      <w:tr>
        <w:trPr>
          <w:cantSplit w:val="true"/>
        </w:trPr>
        <w:tc>
          <w:tcPr>
            <w:vAlign w:val="bottom"/>
          </w:tcPr>
          <w:p>
            <w:pPr>
              <w:spacing w:beforeAutospacing="true" w:afterAutospacing="true"/>
              <w:jc w:val="right"/>
            </w:pPr>
            <w:r>
              <w:rPr>
                <w:rFonts w:ascii="Calibri" w:hAnsi="Calibri"/>
                <w:color w:val="000000"/>
                <w:sz w:val="22"/>
              </w:rPr>
              <w:t xml:space="preserve">9</w:t>
            </w:r>
          </w:p>
        </w:tc>
        <w:tc>
          <w:tcPr>
            <w:vAlign w:val="bottom"/>
          </w:tcPr>
          <w:p>
            <w:pPr>
              <w:spacing w:beforeAutospacing="true" w:afterAutospacing="true"/>
              <w:jc w:val="left"/>
            </w:pPr>
            <w:r>
              <w:rPr>
                <w:rFonts w:ascii="Calibri" w:hAnsi="Calibri"/>
                <w:color w:val="000000"/>
                <w:sz w:val="22"/>
              </w:rPr>
              <w:t xml:space="preserve">Friendly Center, Inc.-Community Food Orange</w:t>
            </w:r>
          </w:p>
        </w:tc>
      </w:tr>
      <w:tr>
        <w:trPr>
          <w:cantSplit w:val="true"/>
        </w:trPr>
        <w:tc>
          <w:tcPr>
            <w:vAlign w:val="bottom"/>
          </w:tcPr>
          <w:p>
            <w:pPr>
              <w:spacing w:beforeAutospacing="true" w:afterAutospacing="true"/>
              <w:jc w:val="right"/>
            </w:pPr>
            <w:r>
              <w:rPr>
                <w:rFonts w:ascii="Calibri" w:hAnsi="Calibri"/>
                <w:color w:val="000000"/>
                <w:sz w:val="22"/>
              </w:rPr>
              <w:t xml:space="preserve">10</w:t>
            </w:r>
          </w:p>
        </w:tc>
        <w:tc>
          <w:tcPr>
            <w:vAlign w:val="bottom"/>
          </w:tcPr>
          <w:p>
            <w:pPr>
              <w:spacing w:beforeAutospacing="true" w:afterAutospacing="true"/>
              <w:jc w:val="left"/>
            </w:pPr>
            <w:r>
              <w:rPr>
                <w:rFonts w:ascii="Calibri" w:hAnsi="Calibri"/>
                <w:color w:val="000000"/>
                <w:sz w:val="22"/>
              </w:rPr>
              <w:t xml:space="preserve">Corp Yard Affordable Housing Project</w:t>
            </w:r>
          </w:p>
        </w:tc>
      </w:tr>
      <w:tr>
        <w:trPr>
          <w:cantSplit w:val="true"/>
        </w:trPr>
        <w:tc>
          <w:tcPr>
            <w:vAlign w:val="bottom"/>
          </w:tcPr>
          <w:p>
            <w:pPr>
              <w:spacing w:beforeAutospacing="true" w:afterAutospacing="true"/>
              <w:jc w:val="right"/>
            </w:pPr>
            <w:r>
              <w:rPr>
                <w:rFonts w:ascii="Calibri" w:hAnsi="Calibri"/>
                <w:color w:val="000000"/>
                <w:sz w:val="22"/>
              </w:rPr>
              <w:t xml:space="preserve">11</w:t>
            </w:r>
          </w:p>
        </w:tc>
        <w:tc>
          <w:tcPr>
            <w:vAlign w:val="bottom"/>
          </w:tcPr>
          <w:p>
            <w:pPr>
              <w:spacing w:beforeAutospacing="true" w:afterAutospacing="true"/>
              <w:jc w:val="left"/>
            </w:pPr>
            <w:r>
              <w:rPr>
                <w:rFonts w:ascii="Calibri" w:hAnsi="Calibri"/>
                <w:color w:val="000000"/>
                <w:sz w:val="22"/>
              </w:rPr>
              <w:t xml:space="preserve">HOME Program Administration</w:t>
            </w:r>
          </w:p>
        </w:tc>
      </w:tr>
    </w:tbl>
    <w:p>
      <w:pPr>
        <w:pStyle w:val="Caption"/>
        <w:rPr>
          <w:rFonts w:asciiTheme="minorHAnsi" w:hAnsiTheme="minorHAnsi"/>
        </w:rPr>
      </w:pPr>
      <w:r>
        <w:rPr>
          <w:rFonts w:asciiTheme="minorHAnsi" w:hAnsiTheme="minorHAnsi"/>
        </w:rPr>
        <w:t xml:space="preserve">Table </w:t>
        <w:fldChar w:fldCharType="begin"/>
        <w:instrText xml:space="preserve"> SEQ Table \* ARABIC </w:instrText>
        <w:fldChar w:fldCharType="separate"/>
        <w:t>3</w:t>
        <w:fldChar w:fldCharType="end"/>
        <w:t xml:space="preserve"> - Project Information</w:t>
      </w:r>
    </w:p>
    <w:p>
      <w:pPr>
        <w:spacing w:after="0" w:line="240" w:lineRule="auto"/>
        <w:rPr>
          <w:b/>
          <w:sz w:val="24"/>
          <w:szCs w:val="24"/>
        </w:rPr>
      </w:pPr>
    </w:p>
    <w:p>
      <w:pPr>
        <w:keepNext/>
        <w:widowControl w:val="false"/>
        <w:spacing w:line="204" w:lineRule="auto"/>
        <w:rPr>
          <w:b/>
          <w:sz w:val="24"/>
          <w:szCs w:val="24"/>
        </w:rPr>
      </w:pPr>
      <w:r>
        <w:rPr>
          <w:b/>
          <w:sz w:val="24"/>
          <w:szCs w:val="24"/>
        </w:rPr>
        <w:t>Describe the reasons for allocation priorities and any obstacles to addressing underserved needs</w:t>
      </w:r>
    </w:p>
    <w:p>
      <w:pPr>
        <w:keepNext/>
        <w:widowControl w:val="false"/>
        <w:spacing w:beforeAutospacing="true" w:afterAutospacing="true"/>
        <w:rPr>
          <w:rFonts w:cs="Arial"/>
          <w:szCs w:val="24"/>
        </w:rPr>
      </w:pPr>
      <w:r>
        <w:rPr>
          <w:rFonts w:cs="Arial"/>
        </w:rPr>
        <w:t xml:space="preserve">The City allocates CDBG funds to activities that address the priorities of the 2020-2024 Consolidated Plan and comply with CDBG regulations.  The City and the CDBG Program Committee consider funding requests from nonprofit agencies based upon the proposed benefit to low and moderate income residents, the agencies’ demonstrated capacity to carry out the proposed activities, the financial feasibility of the proposed activities, and the amount of funding available.</w:t>
      </w:r>
    </w:p>
    <w:p>
      <w:pPr>
        <w:keepNext/>
        <w:widowControl w:val="false"/>
        <w:spacing w:beforeAutospacing="true" w:afterAutospacing="true"/>
        <w:rPr>
          <w:rFonts w:cs="Arial"/>
          <w:szCs w:val="24"/>
        </w:rPr>
      </w:pPr>
      <w:r>
        <w:rPr>
          <w:rFonts w:cs="Arial"/>
        </w:rPr>
        <w:t xml:space="preserve">The City allocated nearly $1.6 million in HOME funds to the Corpyard Affordable Housing project.  The project consists of the construction of 62 rental units for low income families. </w:t>
      </w:r>
    </w:p>
    <w:p>
      <w:pPr>
        <w:keepNext/>
        <w:widowControl w:val="false"/>
        <w:spacing w:beforeAutospacing="true" w:afterAutospacing="true"/>
        <w:rPr>
          <w:rFonts w:cs="Arial"/>
          <w:szCs w:val="24"/>
        </w:rPr>
      </w:pPr>
      <w:r>
        <w:rPr>
          <w:rFonts w:cs="Arial"/>
        </w:rPr>
        <w:t xml:space="preserve">The primary obstacle to addressing unmet needs is the limited amount of funding available.</w:t>
      </w:r>
    </w:p>
    <w:p>
      <w:pPr>
        <w:rPr>
          <w:rFonts w:cs="Arial"/>
        </w:rPr>
      </w:pPr>
    </w:p>
    <w:p>
      <w:pPr>
        <w:rPr>
          <w:rFonts w:cs="Arial"/>
        </w:rPr>
      </w:pPr>
    </w:p>
    <w:p>
      <w:pPr>
        <w:rPr>
          <w:rFonts w:cs="Arial"/>
        </w:rPr>
        <w:sectPr>
          <w:pgSz w:w="12240" w:h="15840" w:code="1"/>
          <w:pgMar w:top="1440" w:right="1440" w:bottom="1440" w:left="1440" w:header="720" w:footer="720" w:gutter="0"/>
          <w:cols w:space="720"/>
          <w:docGrid w:linePitch="360"/>
        </w:sectPr>
      </w:pPr>
    </w:p>
    <w:p>
      <w:pPr>
        <w:rPr>
          <w:rFonts w:cs="Arial"/>
        </w:rPr>
      </w:pPr>
    </w:p>
    <w:p>
      <w:pPr>
        <w:pStyle w:val="Heading2"/>
        <w:rPr>
          <w:rFonts w:ascii="Calibri" w:hAnsi="Calibri"/>
          <w:i w:val="false"/>
        </w:rPr>
      </w:pPr>
      <w:r>
        <w:rPr>
          <w:rFonts w:ascii="Calibri" w:hAnsi="Calibri"/>
          <w:i w:val="false"/>
        </w:rPr>
        <w:t>AP-38 Project Summary</w:t>
      </w:r>
    </w:p>
    <w:p>
      <w:pPr>
        <w:keepNext/>
        <w:widowControl w:val="false"/>
        <w:rPr>
          <w:b/>
          <w:sz w:val="24"/>
          <w:szCs w:val="24"/>
        </w:rPr>
      </w:pPr>
      <w:r>
        <w:rPr>
          <w:b/>
          <w:sz w:val="24"/>
          <w:szCs w:val="24"/>
        </w:rPr>
        <w:t>Project Summary Information</w:t>
      </w:r>
    </w:p>
    <w:p>
      <w:pPr>
        <w:pStyle w:val="Heading2"/>
        <w:pageBreakBefore/>
        <w:rPr>
          <w:rFonts w:asciiTheme="minorHAnsi" w:hAnsiTheme="minorHAnsi"/>
          <w:i w:val="false"/>
        </w:rPr>
        <w:sectPr>
          <w:pgSz w:w="15840" w:h="12240" w:orient="landscape" w:code="1"/>
          <w:pgMar w:top="1440" w:right="1440" w:bottom="1440" w:left="1440" w:header="720" w:footer="720" w:gutter="0"/>
          <w:cols w:space="720"/>
          <w:docGrid w:linePitch="360"/>
        </w:sectPr>
      </w:pPr>
    </w:p>
    <w:tbl>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Pr>
      <w:tblGrid/>
      <w:tr>
        <w:trPr>
          <w:cantSplit w:val="true"/>
        </w:trPr>
        <w:tc>
          <w:tcPr>
            <w:vMerge w:val="restart"/>
          </w:tcPr>
          <w:p>
            <w:r>
              <w:rPr>
                <w:b w:val="true"/>
              </w:rPr>
              <w:t>1</w:t>
            </w:r>
          </w:p>
        </w:tc>
        <w:tc>
          <w:p>
            <w:pPr>
              <w:keepNext w:val="true"/>
              <w:spacing w:before="100" w:after="0"/>
              <w:rPr>
                <w:b/>
              </w:rPr>
            </w:pPr>
            <w:r>
              <w:rPr>
                <w:b/>
              </w:rPr>
              <w:t>Project Name</w:t>
            </w:r>
          </w:p>
        </w:tc>
        <w:tc>
          <w:p>
            <w:pPr>
              <w:spacing w:before="100" w:after="0"/>
            </w:pPr>
            <w:r>
              <w:rPr>
                <w:rFonts w:ascii="Calibri" w:hAnsi="Calibri"/>
                <w:color w:val="000000"/>
                <w:sz w:val="22"/>
              </w:rPr>
              <w:t xml:space="preserve">CDBG Program Administration</w:t>
            </w:r>
          </w:p>
        </w:tc>
      </w:tr>
      <w:tr>
        <w:trPr>
          <w:cantSplit w:val="true"/>
        </w:trPr>
        <w:tc>
          <w:tcPr>
            <w:vMerge/>
          </w:tcPr>
          <w:p/>
        </w:tc>
        <w:tc>
          <w:p>
            <w:pPr>
              <w:keepNext w:val="true"/>
              <w:spacing w:before="100" w:after="0"/>
              <w:rPr>
                <w:b/>
              </w:rPr>
            </w:pPr>
            <w:r>
              <w:rPr>
                <w:b/>
              </w:rPr>
              <w:t>Target Area</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Goals Supported</w:t>
            </w:r>
          </w:p>
        </w:tc>
        <w:tc>
          <w:p>
            <w:pPr>
              <w:spacing w:before="100" w:after="0"/>
            </w:pPr>
            <w:r>
              <w:rPr>
                <w:rFonts w:ascii="Calibri" w:hAnsi="Calibri"/>
                <w:color w:val="000000"/>
                <w:sz w:val="22"/>
              </w:rPr>
              <w:t xml:space="preserve">Affordable Housing</w:t>
            </w:r>
            <w:r>
              <w:rPr>
                <w:rFonts w:ascii="Calibri" w:hAnsi="Calibri"/>
                <w:color w:val="000000"/>
                <w:sz w:val="22"/>
              </w:rPr>
              <w:br/>
              <w:t xml:space="preserve"/>
            </w:r>
            <w:r>
              <w:rPr>
                <w:rFonts w:ascii="Calibri" w:hAnsi="Calibri"/>
                <w:color w:val="000000"/>
                <w:sz w:val="22"/>
              </w:rPr>
              <w:t xml:space="preserve">Homelessness</w:t>
            </w:r>
            <w:r>
              <w:rPr>
                <w:rFonts w:ascii="Calibri" w:hAnsi="Calibri"/>
                <w:color w:val="000000"/>
                <w:sz w:val="22"/>
              </w:rPr>
              <w:br/>
              <w:t xml:space="preserve"/>
            </w:r>
            <w:r>
              <w:rPr>
                <w:rFonts w:ascii="Calibri" w:hAnsi="Calibri"/>
                <w:color w:val="000000"/>
                <w:sz w:val="22"/>
              </w:rPr>
              <w:t xml:space="preserve">Community Development</w:t>
            </w:r>
          </w:p>
        </w:tc>
      </w:tr>
      <w:tr>
        <w:trPr>
          <w:cantSplit w:val="true"/>
        </w:trPr>
        <w:tc>
          <w:tcPr>
            <w:vMerge/>
          </w:tcPr>
          <w:p/>
        </w:tc>
        <w:tc>
          <w:p>
            <w:pPr>
              <w:keepNext w:val="true"/>
              <w:spacing w:before="100" w:after="0"/>
              <w:rPr>
                <w:b/>
              </w:rPr>
            </w:pPr>
            <w:r>
              <w:rPr>
                <w:b/>
              </w:rPr>
              <w:t>Needs Addressed</w:t>
            </w:r>
          </w:p>
        </w:tc>
        <w:tc>
          <w:p>
            <w:pPr>
              <w:spacing w:before="100" w:after="0"/>
            </w:pPr>
            <w:r>
              <w:rPr>
                <w:rFonts w:ascii="Calibri" w:hAnsi="Calibri"/>
                <w:color w:val="000000"/>
                <w:sz w:val="22"/>
              </w:rPr>
              <w:t xml:space="preserve">Affordable Housing</w:t>
            </w:r>
            <w:r>
              <w:rPr>
                <w:rFonts w:ascii="Calibri" w:hAnsi="Calibri"/>
                <w:color w:val="000000"/>
                <w:sz w:val="22"/>
              </w:rPr>
              <w:br/>
              <w:t xml:space="preserve"/>
            </w:r>
            <w:r>
              <w:rPr>
                <w:rFonts w:ascii="Calibri" w:hAnsi="Calibri"/>
                <w:color w:val="000000"/>
                <w:sz w:val="22"/>
              </w:rPr>
              <w:t xml:space="preserve">Homelessness</w:t>
            </w:r>
            <w:r>
              <w:rPr>
                <w:rFonts w:ascii="Calibri" w:hAnsi="Calibri"/>
                <w:color w:val="000000"/>
                <w:sz w:val="22"/>
              </w:rPr>
              <w:br/>
              <w:t xml:space="preserve"/>
            </w:r>
            <w:r>
              <w:rPr>
                <w:rFonts w:ascii="Calibri" w:hAnsi="Calibri"/>
                <w:color w:val="000000"/>
                <w:sz w:val="22"/>
              </w:rPr>
              <w:t xml:space="preserve">Community Development</w:t>
            </w:r>
          </w:p>
        </w:tc>
      </w:tr>
      <w:tr>
        <w:trPr>
          <w:cantSplit w:val="true"/>
        </w:trPr>
        <w:tc>
          <w:tcPr>
            <w:vMerge/>
          </w:tcPr>
          <w:p/>
        </w:tc>
        <w:tc>
          <w:p>
            <w:pPr>
              <w:keepNext w:val="true"/>
              <w:spacing w:before="100" w:after="0"/>
              <w:rPr>
                <w:b/>
              </w:rPr>
            </w:pPr>
            <w:r>
              <w:rPr>
                <w:b/>
              </w:rPr>
              <w:t>Funding</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Description</w:t>
            </w:r>
          </w:p>
        </w:tc>
        <w:tc>
          <w:p>
            <w:pPr>
              <w:spacing w:before="100" w:after="0"/>
            </w:pPr>
            <w:r>
              <w:rPr>
                <w:rFonts w:ascii="Calibri" w:hAnsi="Calibri"/>
                <w:color w:val="000000"/>
                <w:sz w:val="22"/>
              </w:rPr>
              <w:t xml:space="preserve">Administration of the CDBG program</w:t>
            </w:r>
          </w:p>
        </w:tc>
      </w:tr>
      <w:tr>
        <w:trPr>
          <w:cantSplit w:val="true"/>
        </w:trPr>
        <w:tc>
          <w:tcPr>
            <w:vMerge/>
          </w:tcPr>
          <w:p/>
        </w:tc>
        <w:tc>
          <w:p>
            <w:pPr>
              <w:keepNext w:val="true"/>
              <w:spacing w:before="100" w:after="0"/>
              <w:rPr>
                <w:b/>
              </w:rPr>
            </w:pPr>
            <w:r>
              <w:rPr>
                <w:b/>
              </w:rPr>
              <w:t>Target Date</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Estimate the number and type of families that will benefit from the proposed activities</w:t>
            </w:r>
          </w:p>
        </w:tc>
        <w:tc>
          <w:p>
            <w:pPr>
              <w:spacing w:before="100" w:after="0"/>
            </w:pPr>
            <w:r>
              <w:rPr>
                <w:rFonts w:ascii="Calibri" w:hAnsi="Calibri"/>
                <w:color w:val="000000"/>
                <w:sz w:val="22"/>
              </w:rPr>
              <w:t xml:space="preserve">Not Applicable</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Location Description</w:t>
            </w:r>
          </w:p>
        </w:tc>
        <w:tc>
          <w:p>
            <w:pPr>
              <w:spacing w:before="100" w:after="0"/>
            </w:pPr>
            <w:r>
              <w:rPr>
                <w:rFonts w:ascii="Calibri" w:hAnsi="Calibri"/>
                <w:color w:val="000000"/>
                <w:sz w:val="22"/>
              </w:rPr>
              <w:t xml:space="preserve">Not Applicable</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Planned Activities</w:t>
            </w:r>
          </w:p>
        </w:tc>
        <w:tc>
          <w:p>
            <w:pPr>
              <w:spacing w:before="100" w:after="0"/>
            </w:pPr>
            <w:r>
              <w:rPr>
                <w:rFonts w:ascii="Calibri" w:hAnsi="Calibri"/>
                <w:color w:val="000000"/>
                <w:sz w:val="22"/>
              </w:rPr>
              <w:t xml:space="preserve"> </w:t>
            </w:r>
          </w:p>
        </w:tc>
      </w:tr>
      <w:tr>
        <w:trPr>
          <w:cantSplit w:val="true"/>
        </w:trPr>
        <w:tc>
          <w:tcPr>
            <w:vMerge w:val="restart"/>
          </w:tcPr>
          <w:p>
            <w:r>
              <w:rPr>
                <w:b w:val="true"/>
              </w:rPr>
              <w:t>2</w:t>
            </w:r>
          </w:p>
        </w:tc>
        <w:tc>
          <w:p>
            <w:pPr>
              <w:keepNext w:val="true"/>
              <w:spacing w:before="100" w:after="0"/>
              <w:rPr>
                <w:b/>
              </w:rPr>
            </w:pPr>
            <w:r>
              <w:rPr>
                <w:b/>
              </w:rPr>
              <w:t>Project Name</w:t>
            </w:r>
          </w:p>
        </w:tc>
        <w:tc>
          <w:p>
            <w:pPr>
              <w:spacing w:before="100" w:after="0"/>
            </w:pPr>
            <w:r>
              <w:rPr>
                <w:rFonts w:ascii="Calibri" w:hAnsi="Calibri"/>
                <w:color w:val="000000"/>
                <w:sz w:val="22"/>
              </w:rPr>
              <w:t xml:space="preserve">Fair Housing Program</w:t>
            </w:r>
          </w:p>
        </w:tc>
      </w:tr>
      <w:tr>
        <w:trPr>
          <w:cantSplit w:val="true"/>
        </w:trPr>
        <w:tc>
          <w:tcPr>
            <w:vMerge/>
          </w:tcPr>
          <w:p/>
        </w:tc>
        <w:tc>
          <w:p>
            <w:pPr>
              <w:keepNext w:val="true"/>
              <w:spacing w:before="100" w:after="0"/>
              <w:rPr>
                <w:b/>
              </w:rPr>
            </w:pPr>
            <w:r>
              <w:rPr>
                <w:b/>
              </w:rPr>
              <w:t>Target Area</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Goals Supported</w:t>
            </w:r>
          </w:p>
        </w:tc>
        <w:tc>
          <w:p>
            <w:pPr>
              <w:spacing w:before="100" w:after="0"/>
            </w:pPr>
            <w:r>
              <w:rPr>
                <w:rFonts w:ascii="Calibri" w:hAnsi="Calibri"/>
                <w:color w:val="000000"/>
                <w:sz w:val="22"/>
              </w:rPr>
              <w:t xml:space="preserve">Affordable Housing</w:t>
            </w:r>
          </w:p>
        </w:tc>
      </w:tr>
      <w:tr>
        <w:trPr>
          <w:cantSplit w:val="true"/>
        </w:trPr>
        <w:tc>
          <w:tcPr>
            <w:vMerge/>
          </w:tcPr>
          <w:p/>
        </w:tc>
        <w:tc>
          <w:p>
            <w:pPr>
              <w:keepNext w:val="true"/>
              <w:spacing w:before="100" w:after="0"/>
              <w:rPr>
                <w:b/>
              </w:rPr>
            </w:pPr>
            <w:r>
              <w:rPr>
                <w:b/>
              </w:rPr>
              <w:t>Needs Addressed</w:t>
            </w:r>
          </w:p>
        </w:tc>
        <w:tc>
          <w:p>
            <w:pPr>
              <w:spacing w:before="100" w:after="0"/>
            </w:pPr>
            <w:r>
              <w:rPr>
                <w:rFonts w:ascii="Calibri" w:hAnsi="Calibri"/>
                <w:color w:val="000000"/>
                <w:sz w:val="22"/>
              </w:rPr>
              <w:t xml:space="preserve">Affordable Housing</w:t>
            </w:r>
          </w:p>
        </w:tc>
      </w:tr>
      <w:tr>
        <w:trPr>
          <w:cantSplit w:val="true"/>
        </w:trPr>
        <w:tc>
          <w:tcPr>
            <w:vMerge/>
          </w:tcPr>
          <w:p/>
        </w:tc>
        <w:tc>
          <w:p>
            <w:pPr>
              <w:keepNext w:val="true"/>
              <w:spacing w:before="100" w:after="0"/>
              <w:rPr>
                <w:b/>
              </w:rPr>
            </w:pPr>
            <w:r>
              <w:rPr>
                <w:b/>
              </w:rPr>
              <w:t>Funding</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Description</w:t>
            </w:r>
          </w:p>
        </w:tc>
        <w:tc>
          <w:p>
            <w:pPr>
              <w:spacing w:before="100" w:after="0"/>
            </w:pPr>
            <w:r>
              <w:rPr>
                <w:rFonts w:ascii="Calibri" w:hAnsi="Calibri"/>
                <w:color w:val="000000"/>
                <w:sz w:val="22"/>
              </w:rPr>
              <w:t xml:space="preserve">Fair Housing Program by Fair Housing Foundation.</w:t>
            </w:r>
          </w:p>
        </w:tc>
      </w:tr>
      <w:tr>
        <w:trPr>
          <w:cantSplit w:val="true"/>
        </w:trPr>
        <w:tc>
          <w:tcPr>
            <w:vMerge/>
          </w:tcPr>
          <w:p/>
        </w:tc>
        <w:tc>
          <w:p>
            <w:pPr>
              <w:keepNext w:val="true"/>
              <w:spacing w:before="100" w:after="0"/>
              <w:rPr>
                <w:b/>
              </w:rPr>
            </w:pPr>
            <w:r>
              <w:rPr>
                <w:b/>
              </w:rPr>
              <w:t>Target Date</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Estimate the number and type of families that will benefit from the proposed activities</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Location Description</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Planned Activities</w:t>
            </w:r>
          </w:p>
        </w:tc>
        <w:tc>
          <w:p>
            <w:pPr>
              <w:spacing w:before="100" w:after="0"/>
            </w:pPr>
            <w:r>
              <w:rPr>
                <w:rFonts w:ascii="Calibri" w:hAnsi="Calibri"/>
                <w:color w:val="000000"/>
                <w:sz w:val="22"/>
              </w:rPr>
              <w:t xml:space="preserve"> </w:t>
            </w:r>
          </w:p>
        </w:tc>
      </w:tr>
      <w:tr>
        <w:trPr>
          <w:cantSplit w:val="true"/>
        </w:trPr>
        <w:tc>
          <w:tcPr>
            <w:vMerge w:val="restart"/>
          </w:tcPr>
          <w:p>
            <w:r>
              <w:rPr>
                <w:b w:val="true"/>
              </w:rPr>
              <w:t>3</w:t>
            </w:r>
          </w:p>
        </w:tc>
        <w:tc>
          <w:p>
            <w:pPr>
              <w:keepNext w:val="true"/>
              <w:spacing w:before="100" w:after="0"/>
              <w:rPr>
                <w:b/>
              </w:rPr>
            </w:pPr>
            <w:r>
              <w:rPr>
                <w:b/>
              </w:rPr>
              <w:t>Project Name</w:t>
            </w:r>
          </w:p>
        </w:tc>
        <w:tc>
          <w:p>
            <w:pPr>
              <w:spacing w:before="100" w:after="0"/>
            </w:pPr>
            <w:r>
              <w:rPr>
                <w:rFonts w:ascii="Calibri" w:hAnsi="Calibri"/>
                <w:color w:val="000000"/>
                <w:sz w:val="22"/>
              </w:rPr>
              <w:t xml:space="preserve">ADA Wheelchair Access Ramps</w:t>
            </w:r>
          </w:p>
        </w:tc>
      </w:tr>
      <w:tr>
        <w:trPr>
          <w:cantSplit w:val="true"/>
        </w:trPr>
        <w:tc>
          <w:tcPr>
            <w:vMerge/>
          </w:tcPr>
          <w:p/>
        </w:tc>
        <w:tc>
          <w:p>
            <w:pPr>
              <w:keepNext w:val="true"/>
              <w:spacing w:before="100" w:after="0"/>
              <w:rPr>
                <w:b/>
              </w:rPr>
            </w:pPr>
            <w:r>
              <w:rPr>
                <w:b/>
              </w:rPr>
              <w:t>Target Area</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Goals Supported</w:t>
            </w:r>
          </w:p>
        </w:tc>
        <w:tc>
          <w:p>
            <w:pPr>
              <w:spacing w:before="100" w:after="0"/>
            </w:pPr>
            <w:r>
              <w:rPr>
                <w:rFonts w:ascii="Calibri" w:hAnsi="Calibri"/>
                <w:color w:val="000000"/>
                <w:sz w:val="22"/>
              </w:rPr>
              <w:t xml:space="preserve">Community Development</w:t>
            </w:r>
          </w:p>
        </w:tc>
      </w:tr>
      <w:tr>
        <w:trPr>
          <w:cantSplit w:val="true"/>
        </w:trPr>
        <w:tc>
          <w:tcPr>
            <w:vMerge/>
          </w:tcPr>
          <w:p/>
        </w:tc>
        <w:tc>
          <w:p>
            <w:pPr>
              <w:keepNext w:val="true"/>
              <w:spacing w:before="100" w:after="0"/>
              <w:rPr>
                <w:b/>
              </w:rPr>
            </w:pPr>
            <w:r>
              <w:rPr>
                <w:b/>
              </w:rPr>
              <w:t>Needs Addressed</w:t>
            </w:r>
          </w:p>
        </w:tc>
        <w:tc>
          <w:p>
            <w:pPr>
              <w:spacing w:before="100" w:after="0"/>
            </w:pPr>
            <w:r>
              <w:rPr>
                <w:rFonts w:ascii="Calibri" w:hAnsi="Calibri"/>
                <w:color w:val="000000"/>
                <w:sz w:val="22"/>
              </w:rPr>
              <w:t xml:space="preserve">Community Development</w:t>
            </w:r>
          </w:p>
        </w:tc>
      </w:tr>
      <w:tr>
        <w:trPr>
          <w:cantSplit w:val="true"/>
        </w:trPr>
        <w:tc>
          <w:tcPr>
            <w:vMerge/>
          </w:tcPr>
          <w:p/>
        </w:tc>
        <w:tc>
          <w:p>
            <w:pPr>
              <w:keepNext w:val="true"/>
              <w:spacing w:before="100" w:after="0"/>
              <w:rPr>
                <w:b/>
              </w:rPr>
            </w:pPr>
            <w:r>
              <w:rPr>
                <w:b/>
              </w:rPr>
              <w:t>Funding</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Description</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Target Date</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Estimate the number and type of families that will benefit from the proposed activities</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Location Description</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Planned Activities</w:t>
            </w:r>
          </w:p>
        </w:tc>
        <w:tc>
          <w:p>
            <w:pPr>
              <w:spacing w:before="100" w:after="0"/>
            </w:pPr>
            <w:r>
              <w:rPr>
                <w:rFonts w:ascii="Calibri" w:hAnsi="Calibri"/>
                <w:color w:val="000000"/>
                <w:sz w:val="22"/>
              </w:rPr>
              <w:t xml:space="preserve"> </w:t>
            </w:r>
          </w:p>
        </w:tc>
      </w:tr>
      <w:tr>
        <w:trPr>
          <w:cantSplit w:val="true"/>
        </w:trPr>
        <w:tc>
          <w:tcPr>
            <w:vMerge w:val="restart"/>
          </w:tcPr>
          <w:p>
            <w:r>
              <w:rPr>
                <w:b w:val="true"/>
              </w:rPr>
              <w:t>4</w:t>
            </w:r>
          </w:p>
        </w:tc>
        <w:tc>
          <w:p>
            <w:pPr>
              <w:keepNext w:val="true"/>
              <w:spacing w:before="100" w:after="0"/>
              <w:rPr>
                <w:b/>
              </w:rPr>
            </w:pPr>
            <w:r>
              <w:rPr>
                <w:b/>
              </w:rPr>
              <w:t>Project Name</w:t>
            </w:r>
          </w:p>
        </w:tc>
        <w:tc>
          <w:p>
            <w:pPr>
              <w:spacing w:before="100" w:after="0"/>
            </w:pPr>
            <w:r>
              <w:rPr>
                <w:rFonts w:ascii="Calibri" w:hAnsi="Calibri"/>
                <w:color w:val="000000"/>
                <w:sz w:val="22"/>
              </w:rPr>
              <w:t xml:space="preserve">Hoover Street Improvement</w:t>
            </w:r>
          </w:p>
        </w:tc>
      </w:tr>
      <w:tr>
        <w:trPr>
          <w:cantSplit w:val="true"/>
        </w:trPr>
        <w:tc>
          <w:tcPr>
            <w:vMerge/>
          </w:tcPr>
          <w:p/>
        </w:tc>
        <w:tc>
          <w:p>
            <w:pPr>
              <w:keepNext w:val="true"/>
              <w:spacing w:before="100" w:after="0"/>
              <w:rPr>
                <w:b/>
              </w:rPr>
            </w:pPr>
            <w:r>
              <w:rPr>
                <w:b/>
              </w:rPr>
              <w:t>Target Area</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Goals Supported</w:t>
            </w:r>
          </w:p>
        </w:tc>
        <w:tc>
          <w:p>
            <w:pPr>
              <w:spacing w:before="100" w:after="0"/>
            </w:pPr>
            <w:r>
              <w:rPr>
                <w:rFonts w:ascii="Calibri" w:hAnsi="Calibri"/>
                <w:color w:val="000000"/>
                <w:sz w:val="22"/>
              </w:rPr>
              <w:t xml:space="preserve">Community Development</w:t>
            </w:r>
          </w:p>
        </w:tc>
      </w:tr>
      <w:tr>
        <w:trPr>
          <w:cantSplit w:val="true"/>
        </w:trPr>
        <w:tc>
          <w:tcPr>
            <w:vMerge/>
          </w:tcPr>
          <w:p/>
        </w:tc>
        <w:tc>
          <w:p>
            <w:pPr>
              <w:keepNext w:val="true"/>
              <w:spacing w:before="100" w:after="0"/>
              <w:rPr>
                <w:b/>
              </w:rPr>
            </w:pPr>
            <w:r>
              <w:rPr>
                <w:b/>
              </w:rPr>
              <w:t>Needs Addressed</w:t>
            </w:r>
          </w:p>
        </w:tc>
        <w:tc>
          <w:p>
            <w:pPr>
              <w:spacing w:before="100" w:after="0"/>
            </w:pPr>
            <w:r>
              <w:rPr>
                <w:rFonts w:ascii="Calibri" w:hAnsi="Calibri"/>
                <w:color w:val="000000"/>
                <w:sz w:val="22"/>
              </w:rPr>
              <w:t xml:space="preserve">Community Development</w:t>
            </w:r>
          </w:p>
        </w:tc>
      </w:tr>
      <w:tr>
        <w:trPr>
          <w:cantSplit w:val="true"/>
        </w:trPr>
        <w:tc>
          <w:tcPr>
            <w:vMerge/>
          </w:tcPr>
          <w:p/>
        </w:tc>
        <w:tc>
          <w:p>
            <w:pPr>
              <w:keepNext w:val="true"/>
              <w:spacing w:before="100" w:after="0"/>
              <w:rPr>
                <w:b/>
              </w:rPr>
            </w:pPr>
            <w:r>
              <w:rPr>
                <w:b/>
              </w:rPr>
              <w:t>Funding</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Description</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Target Date</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Estimate the number and type of families that will benefit from the proposed activities</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Location Description</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Planned Activities</w:t>
            </w:r>
          </w:p>
        </w:tc>
        <w:tc>
          <w:p>
            <w:pPr>
              <w:spacing w:before="100" w:after="0"/>
            </w:pPr>
            <w:r>
              <w:rPr>
                <w:rFonts w:ascii="Calibri" w:hAnsi="Calibri"/>
                <w:color w:val="000000"/>
                <w:sz w:val="22"/>
              </w:rPr>
              <w:t xml:space="preserve"> </w:t>
            </w:r>
          </w:p>
        </w:tc>
      </w:tr>
      <w:tr>
        <w:trPr>
          <w:cantSplit w:val="true"/>
        </w:trPr>
        <w:tc>
          <w:tcPr>
            <w:vMerge w:val="restart"/>
          </w:tcPr>
          <w:p>
            <w:r>
              <w:rPr>
                <w:b w:val="true"/>
              </w:rPr>
              <w:t>5</w:t>
            </w:r>
          </w:p>
        </w:tc>
        <w:tc>
          <w:p>
            <w:pPr>
              <w:keepNext w:val="true"/>
              <w:spacing w:before="100" w:after="0"/>
              <w:rPr>
                <w:b/>
              </w:rPr>
            </w:pPr>
            <w:r>
              <w:rPr>
                <w:b/>
              </w:rPr>
              <w:t>Project Name</w:t>
            </w:r>
          </w:p>
        </w:tc>
        <w:tc>
          <w:p>
            <w:pPr>
              <w:spacing w:before="100" w:after="0"/>
            </w:pPr>
            <w:r>
              <w:rPr>
                <w:rFonts w:ascii="Calibri" w:hAnsi="Calibri"/>
                <w:color w:val="000000"/>
                <w:sz w:val="22"/>
              </w:rPr>
              <w:t xml:space="preserve">Library Accessibility Improvement</w:t>
            </w:r>
          </w:p>
        </w:tc>
      </w:tr>
      <w:tr>
        <w:trPr>
          <w:cantSplit w:val="true"/>
        </w:trPr>
        <w:tc>
          <w:tcPr>
            <w:vMerge/>
          </w:tcPr>
          <w:p/>
        </w:tc>
        <w:tc>
          <w:p>
            <w:pPr>
              <w:keepNext w:val="true"/>
              <w:spacing w:before="100" w:after="0"/>
              <w:rPr>
                <w:b/>
              </w:rPr>
            </w:pPr>
            <w:r>
              <w:rPr>
                <w:b/>
              </w:rPr>
              <w:t>Target Area</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Goals Supported</w:t>
            </w:r>
          </w:p>
        </w:tc>
        <w:tc>
          <w:p>
            <w:pPr>
              <w:spacing w:before="100" w:after="0"/>
            </w:pPr>
            <w:r>
              <w:rPr>
                <w:rFonts w:ascii="Calibri" w:hAnsi="Calibri"/>
                <w:color w:val="000000"/>
                <w:sz w:val="22"/>
              </w:rPr>
              <w:t xml:space="preserve">Community Development</w:t>
            </w:r>
          </w:p>
        </w:tc>
      </w:tr>
      <w:tr>
        <w:trPr>
          <w:cantSplit w:val="true"/>
        </w:trPr>
        <w:tc>
          <w:tcPr>
            <w:vMerge/>
          </w:tcPr>
          <w:p/>
        </w:tc>
        <w:tc>
          <w:p>
            <w:pPr>
              <w:keepNext w:val="true"/>
              <w:spacing w:before="100" w:after="0"/>
              <w:rPr>
                <w:b/>
              </w:rPr>
            </w:pPr>
            <w:r>
              <w:rPr>
                <w:b/>
              </w:rPr>
              <w:t>Needs Addressed</w:t>
            </w:r>
          </w:p>
        </w:tc>
        <w:tc>
          <w:p>
            <w:pPr>
              <w:spacing w:before="100" w:after="0"/>
            </w:pPr>
            <w:r>
              <w:rPr>
                <w:rFonts w:ascii="Calibri" w:hAnsi="Calibri"/>
                <w:color w:val="000000"/>
                <w:sz w:val="22"/>
              </w:rPr>
              <w:t xml:space="preserve">Community Development</w:t>
            </w:r>
          </w:p>
        </w:tc>
      </w:tr>
      <w:tr>
        <w:trPr>
          <w:cantSplit w:val="true"/>
        </w:trPr>
        <w:tc>
          <w:tcPr>
            <w:vMerge/>
          </w:tcPr>
          <w:p/>
        </w:tc>
        <w:tc>
          <w:p>
            <w:pPr>
              <w:keepNext w:val="true"/>
              <w:spacing w:before="100" w:after="0"/>
              <w:rPr>
                <w:b/>
              </w:rPr>
            </w:pPr>
            <w:r>
              <w:rPr>
                <w:b/>
              </w:rPr>
              <w:t>Funding</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Description</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Target Date</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Estimate the number and type of families that will benefit from the proposed activities</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Location Description</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Planned Activities</w:t>
            </w:r>
          </w:p>
        </w:tc>
        <w:tc>
          <w:p>
            <w:pPr>
              <w:spacing w:before="100" w:after="0"/>
            </w:pPr>
            <w:r>
              <w:rPr>
                <w:rFonts w:ascii="Calibri" w:hAnsi="Calibri"/>
                <w:color w:val="000000"/>
                <w:sz w:val="22"/>
              </w:rPr>
              <w:t xml:space="preserve"> </w:t>
            </w:r>
          </w:p>
        </w:tc>
      </w:tr>
      <w:tr>
        <w:trPr>
          <w:cantSplit w:val="true"/>
        </w:trPr>
        <w:tc>
          <w:tcPr>
            <w:vMerge w:val="restart"/>
          </w:tcPr>
          <w:p>
            <w:r>
              <w:rPr>
                <w:b w:val="true"/>
              </w:rPr>
              <w:t>6</w:t>
            </w:r>
          </w:p>
        </w:tc>
        <w:tc>
          <w:p>
            <w:pPr>
              <w:keepNext w:val="true"/>
              <w:spacing w:before="100" w:after="0"/>
              <w:rPr>
                <w:b/>
              </w:rPr>
            </w:pPr>
            <w:r>
              <w:rPr>
                <w:b/>
              </w:rPr>
              <w:t>Project Name</w:t>
            </w:r>
          </w:p>
        </w:tc>
        <w:tc>
          <w:p>
            <w:pPr>
              <w:spacing w:before="100" w:after="0"/>
            </w:pPr>
            <w:r>
              <w:rPr>
                <w:rFonts w:ascii="Calibri" w:hAnsi="Calibri"/>
                <w:color w:val="000000"/>
                <w:sz w:val="22"/>
              </w:rPr>
              <w:t xml:space="preserve">After-School Community Program</w:t>
            </w:r>
          </w:p>
        </w:tc>
      </w:tr>
      <w:tr>
        <w:trPr>
          <w:cantSplit w:val="true"/>
        </w:trPr>
        <w:tc>
          <w:tcPr>
            <w:vMerge/>
          </w:tcPr>
          <w:p/>
        </w:tc>
        <w:tc>
          <w:p>
            <w:pPr>
              <w:keepNext w:val="true"/>
              <w:spacing w:before="100" w:after="0"/>
              <w:rPr>
                <w:b/>
              </w:rPr>
            </w:pPr>
            <w:r>
              <w:rPr>
                <w:b/>
              </w:rPr>
              <w:t>Target Area</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Goals Supported</w:t>
            </w:r>
          </w:p>
        </w:tc>
        <w:tc>
          <w:p>
            <w:pPr>
              <w:spacing w:before="100" w:after="0"/>
            </w:pPr>
            <w:r>
              <w:rPr>
                <w:rFonts w:ascii="Calibri" w:hAnsi="Calibri"/>
                <w:color w:val="000000"/>
                <w:sz w:val="22"/>
              </w:rPr>
              <w:t xml:space="preserve">Community Development</w:t>
            </w:r>
          </w:p>
        </w:tc>
      </w:tr>
      <w:tr>
        <w:trPr>
          <w:cantSplit w:val="true"/>
        </w:trPr>
        <w:tc>
          <w:tcPr>
            <w:vMerge/>
          </w:tcPr>
          <w:p/>
        </w:tc>
        <w:tc>
          <w:p>
            <w:pPr>
              <w:keepNext w:val="true"/>
              <w:spacing w:before="100" w:after="0"/>
              <w:rPr>
                <w:b/>
              </w:rPr>
            </w:pPr>
            <w:r>
              <w:rPr>
                <w:b/>
              </w:rPr>
              <w:t>Needs Addressed</w:t>
            </w:r>
          </w:p>
        </w:tc>
        <w:tc>
          <w:p>
            <w:pPr>
              <w:spacing w:before="100" w:after="0"/>
            </w:pPr>
            <w:r>
              <w:rPr>
                <w:rFonts w:ascii="Calibri" w:hAnsi="Calibri"/>
                <w:color w:val="000000"/>
                <w:sz w:val="22"/>
              </w:rPr>
              <w:t xml:space="preserve">Community Development</w:t>
            </w:r>
          </w:p>
        </w:tc>
      </w:tr>
      <w:tr>
        <w:trPr>
          <w:cantSplit w:val="true"/>
        </w:trPr>
        <w:tc>
          <w:tcPr>
            <w:vMerge/>
          </w:tcPr>
          <w:p/>
        </w:tc>
        <w:tc>
          <w:p>
            <w:pPr>
              <w:keepNext w:val="true"/>
              <w:spacing w:before="100" w:after="0"/>
              <w:rPr>
                <w:b/>
              </w:rPr>
            </w:pPr>
            <w:r>
              <w:rPr>
                <w:b/>
              </w:rPr>
              <w:t>Funding</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Description</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Target Date</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Estimate the number and type of families that will benefit from the proposed activities</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Location Description</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Planned Activities</w:t>
            </w:r>
          </w:p>
        </w:tc>
        <w:tc>
          <w:p>
            <w:pPr>
              <w:spacing w:before="100" w:after="0"/>
            </w:pPr>
            <w:r>
              <w:rPr>
                <w:rFonts w:ascii="Calibri" w:hAnsi="Calibri"/>
                <w:color w:val="000000"/>
                <w:sz w:val="22"/>
              </w:rPr>
              <w:t xml:space="preserve"> </w:t>
            </w:r>
          </w:p>
        </w:tc>
      </w:tr>
      <w:tr>
        <w:trPr>
          <w:cantSplit w:val="true"/>
        </w:trPr>
        <w:tc>
          <w:tcPr>
            <w:vMerge w:val="restart"/>
          </w:tcPr>
          <w:p>
            <w:r>
              <w:rPr>
                <w:b w:val="true"/>
              </w:rPr>
              <w:t>7</w:t>
            </w:r>
          </w:p>
        </w:tc>
        <w:tc>
          <w:p>
            <w:pPr>
              <w:keepNext w:val="true"/>
              <w:spacing w:before="100" w:after="0"/>
              <w:rPr>
                <w:b/>
              </w:rPr>
            </w:pPr>
            <w:r>
              <w:rPr>
                <w:b/>
              </w:rPr>
              <w:t>Project Name</w:t>
            </w:r>
          </w:p>
        </w:tc>
        <w:tc>
          <w:p>
            <w:pPr>
              <w:spacing w:before="100" w:after="0"/>
            </w:pPr>
            <w:r>
              <w:rPr>
                <w:rFonts w:ascii="Calibri" w:hAnsi="Calibri"/>
                <w:color w:val="000000"/>
                <w:sz w:val="22"/>
              </w:rPr>
              <w:t xml:space="preserve">Bike Team Program</w:t>
            </w:r>
          </w:p>
        </w:tc>
      </w:tr>
      <w:tr>
        <w:trPr>
          <w:cantSplit w:val="true"/>
        </w:trPr>
        <w:tc>
          <w:tcPr>
            <w:vMerge/>
          </w:tcPr>
          <w:p/>
        </w:tc>
        <w:tc>
          <w:p>
            <w:pPr>
              <w:keepNext w:val="true"/>
              <w:spacing w:before="100" w:after="0"/>
              <w:rPr>
                <w:b/>
              </w:rPr>
            </w:pPr>
            <w:r>
              <w:rPr>
                <w:b/>
              </w:rPr>
              <w:t>Target Area</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Goals Supported</w:t>
            </w:r>
          </w:p>
        </w:tc>
        <w:tc>
          <w:p>
            <w:pPr>
              <w:spacing w:before="100" w:after="0"/>
            </w:pPr>
            <w:r>
              <w:rPr>
                <w:rFonts w:ascii="Calibri" w:hAnsi="Calibri"/>
                <w:color w:val="000000"/>
                <w:sz w:val="22"/>
              </w:rPr>
              <w:t xml:space="preserve">Community Development</w:t>
            </w:r>
          </w:p>
        </w:tc>
      </w:tr>
      <w:tr>
        <w:trPr>
          <w:cantSplit w:val="true"/>
        </w:trPr>
        <w:tc>
          <w:tcPr>
            <w:vMerge/>
          </w:tcPr>
          <w:p/>
        </w:tc>
        <w:tc>
          <w:p>
            <w:pPr>
              <w:keepNext w:val="true"/>
              <w:spacing w:before="100" w:after="0"/>
              <w:rPr>
                <w:b/>
              </w:rPr>
            </w:pPr>
            <w:r>
              <w:rPr>
                <w:b/>
              </w:rPr>
              <w:t>Needs Addressed</w:t>
            </w:r>
          </w:p>
        </w:tc>
        <w:tc>
          <w:p>
            <w:pPr>
              <w:spacing w:before="100" w:after="0"/>
            </w:pPr>
            <w:r>
              <w:rPr>
                <w:rFonts w:ascii="Calibri" w:hAnsi="Calibri"/>
                <w:color w:val="000000"/>
                <w:sz w:val="22"/>
              </w:rPr>
              <w:t xml:space="preserve">Community Development</w:t>
            </w:r>
          </w:p>
        </w:tc>
      </w:tr>
      <w:tr>
        <w:trPr>
          <w:cantSplit w:val="true"/>
        </w:trPr>
        <w:tc>
          <w:tcPr>
            <w:vMerge/>
          </w:tcPr>
          <w:p/>
        </w:tc>
        <w:tc>
          <w:p>
            <w:pPr>
              <w:keepNext w:val="true"/>
              <w:spacing w:before="100" w:after="0"/>
              <w:rPr>
                <w:b/>
              </w:rPr>
            </w:pPr>
            <w:r>
              <w:rPr>
                <w:b/>
              </w:rPr>
              <w:t>Funding</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Description</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Target Date</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Estimate the number and type of families that will benefit from the proposed activities</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Location Description</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Planned Activities</w:t>
            </w:r>
          </w:p>
        </w:tc>
        <w:tc>
          <w:p>
            <w:pPr>
              <w:spacing w:before="100" w:after="0"/>
            </w:pPr>
            <w:r>
              <w:rPr>
                <w:rFonts w:ascii="Calibri" w:hAnsi="Calibri"/>
                <w:color w:val="000000"/>
                <w:sz w:val="22"/>
              </w:rPr>
              <w:t xml:space="preserve"> </w:t>
            </w:r>
          </w:p>
        </w:tc>
      </w:tr>
      <w:tr>
        <w:trPr>
          <w:cantSplit w:val="true"/>
        </w:trPr>
        <w:tc>
          <w:tcPr>
            <w:vMerge w:val="restart"/>
          </w:tcPr>
          <w:p>
            <w:r>
              <w:rPr>
                <w:b w:val="true"/>
              </w:rPr>
              <w:t>8</w:t>
            </w:r>
          </w:p>
        </w:tc>
        <w:tc>
          <w:p>
            <w:pPr>
              <w:keepNext w:val="true"/>
              <w:spacing w:before="100" w:after="0"/>
              <w:rPr>
                <w:b/>
              </w:rPr>
            </w:pPr>
            <w:r>
              <w:rPr>
                <w:b/>
              </w:rPr>
              <w:t>Project Name</w:t>
            </w:r>
          </w:p>
        </w:tc>
        <w:tc>
          <w:p>
            <w:pPr>
              <w:spacing w:before="100" w:after="0"/>
            </w:pPr>
            <w:r>
              <w:rPr>
                <w:rFonts w:ascii="Calibri" w:hAnsi="Calibri"/>
                <w:color w:val="000000"/>
                <w:sz w:val="22"/>
              </w:rPr>
              <w:t xml:space="preserve">Assistance League of Orange-Operation School Bell</w:t>
            </w:r>
          </w:p>
        </w:tc>
      </w:tr>
      <w:tr>
        <w:trPr>
          <w:cantSplit w:val="true"/>
        </w:trPr>
        <w:tc>
          <w:tcPr>
            <w:vMerge/>
          </w:tcPr>
          <w:p/>
        </w:tc>
        <w:tc>
          <w:p>
            <w:pPr>
              <w:keepNext w:val="true"/>
              <w:spacing w:before="100" w:after="0"/>
              <w:rPr>
                <w:b/>
              </w:rPr>
            </w:pPr>
            <w:r>
              <w:rPr>
                <w:b/>
              </w:rPr>
              <w:t>Target Area</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Goals Supported</w:t>
            </w:r>
          </w:p>
        </w:tc>
        <w:tc>
          <w:p>
            <w:pPr>
              <w:spacing w:before="100" w:after="0"/>
            </w:pPr>
            <w:r>
              <w:rPr>
                <w:rFonts w:ascii="Calibri" w:hAnsi="Calibri"/>
                <w:color w:val="000000"/>
                <w:sz w:val="22"/>
              </w:rPr>
              <w:t xml:space="preserve">Community Development</w:t>
            </w:r>
          </w:p>
        </w:tc>
      </w:tr>
      <w:tr>
        <w:trPr>
          <w:cantSplit w:val="true"/>
        </w:trPr>
        <w:tc>
          <w:tcPr>
            <w:vMerge/>
          </w:tcPr>
          <w:p/>
        </w:tc>
        <w:tc>
          <w:p>
            <w:pPr>
              <w:keepNext w:val="true"/>
              <w:spacing w:before="100" w:after="0"/>
              <w:rPr>
                <w:b/>
              </w:rPr>
            </w:pPr>
            <w:r>
              <w:rPr>
                <w:b/>
              </w:rPr>
              <w:t>Needs Addressed</w:t>
            </w:r>
          </w:p>
        </w:tc>
        <w:tc>
          <w:p>
            <w:pPr>
              <w:spacing w:before="100" w:after="0"/>
            </w:pPr>
            <w:r>
              <w:rPr>
                <w:rFonts w:ascii="Calibri" w:hAnsi="Calibri"/>
                <w:color w:val="000000"/>
                <w:sz w:val="22"/>
              </w:rPr>
              <w:t xml:space="preserve">Community Development</w:t>
            </w:r>
          </w:p>
        </w:tc>
      </w:tr>
      <w:tr>
        <w:trPr>
          <w:cantSplit w:val="true"/>
        </w:trPr>
        <w:tc>
          <w:tcPr>
            <w:vMerge/>
          </w:tcPr>
          <w:p/>
        </w:tc>
        <w:tc>
          <w:p>
            <w:pPr>
              <w:keepNext w:val="true"/>
              <w:spacing w:before="100" w:after="0"/>
              <w:rPr>
                <w:b/>
              </w:rPr>
            </w:pPr>
            <w:r>
              <w:rPr>
                <w:b/>
              </w:rPr>
              <w:t>Funding</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Description</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Target Date</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Estimate the number and type of families that will benefit from the proposed activities</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Location Description</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Planned Activities</w:t>
            </w:r>
          </w:p>
        </w:tc>
        <w:tc>
          <w:p>
            <w:pPr>
              <w:spacing w:before="100" w:after="0"/>
            </w:pPr>
            <w:r>
              <w:rPr>
                <w:rFonts w:ascii="Calibri" w:hAnsi="Calibri"/>
                <w:color w:val="000000"/>
                <w:sz w:val="22"/>
              </w:rPr>
              <w:t xml:space="preserve"> </w:t>
            </w:r>
          </w:p>
        </w:tc>
      </w:tr>
      <w:tr>
        <w:trPr>
          <w:cantSplit w:val="true"/>
        </w:trPr>
        <w:tc>
          <w:tcPr>
            <w:vMerge w:val="restart"/>
          </w:tcPr>
          <w:p>
            <w:r>
              <w:rPr>
                <w:b w:val="true"/>
              </w:rPr>
              <w:t>9</w:t>
            </w:r>
          </w:p>
        </w:tc>
        <w:tc>
          <w:p>
            <w:pPr>
              <w:keepNext w:val="true"/>
              <w:spacing w:before="100" w:after="0"/>
              <w:rPr>
                <w:b/>
              </w:rPr>
            </w:pPr>
            <w:r>
              <w:rPr>
                <w:b/>
              </w:rPr>
              <w:t>Project Name</w:t>
            </w:r>
          </w:p>
        </w:tc>
        <w:tc>
          <w:p>
            <w:pPr>
              <w:spacing w:before="100" w:after="0"/>
            </w:pPr>
            <w:r>
              <w:rPr>
                <w:rFonts w:ascii="Calibri" w:hAnsi="Calibri"/>
                <w:color w:val="000000"/>
                <w:sz w:val="22"/>
              </w:rPr>
              <w:t xml:space="preserve">Friendly Center, Inc.-Community Food Orange</w:t>
            </w:r>
          </w:p>
        </w:tc>
      </w:tr>
      <w:tr>
        <w:trPr>
          <w:cantSplit w:val="true"/>
        </w:trPr>
        <w:tc>
          <w:tcPr>
            <w:vMerge/>
          </w:tcPr>
          <w:p/>
        </w:tc>
        <w:tc>
          <w:p>
            <w:pPr>
              <w:keepNext w:val="true"/>
              <w:spacing w:before="100" w:after="0"/>
              <w:rPr>
                <w:b/>
              </w:rPr>
            </w:pPr>
            <w:r>
              <w:rPr>
                <w:b/>
              </w:rPr>
              <w:t>Target Area</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Goals Supported</w:t>
            </w:r>
          </w:p>
        </w:tc>
        <w:tc>
          <w:p>
            <w:pPr>
              <w:spacing w:before="100" w:after="0"/>
            </w:pPr>
            <w:r>
              <w:rPr>
                <w:rFonts w:ascii="Calibri" w:hAnsi="Calibri"/>
                <w:color w:val="000000"/>
                <w:sz w:val="22"/>
              </w:rPr>
              <w:t xml:space="preserve">Community Development</w:t>
            </w:r>
          </w:p>
        </w:tc>
      </w:tr>
      <w:tr>
        <w:trPr>
          <w:cantSplit w:val="true"/>
        </w:trPr>
        <w:tc>
          <w:tcPr>
            <w:vMerge/>
          </w:tcPr>
          <w:p/>
        </w:tc>
        <w:tc>
          <w:p>
            <w:pPr>
              <w:keepNext w:val="true"/>
              <w:spacing w:before="100" w:after="0"/>
              <w:rPr>
                <w:b/>
              </w:rPr>
            </w:pPr>
            <w:r>
              <w:rPr>
                <w:b/>
              </w:rPr>
              <w:t>Needs Addressed</w:t>
            </w:r>
          </w:p>
        </w:tc>
        <w:tc>
          <w:p>
            <w:pPr>
              <w:spacing w:before="100" w:after="0"/>
            </w:pPr>
            <w:r>
              <w:rPr>
                <w:rFonts w:ascii="Calibri" w:hAnsi="Calibri"/>
                <w:color w:val="000000"/>
                <w:sz w:val="22"/>
              </w:rPr>
              <w:t xml:space="preserve">Community Development</w:t>
            </w:r>
          </w:p>
        </w:tc>
      </w:tr>
      <w:tr>
        <w:trPr>
          <w:cantSplit w:val="true"/>
        </w:trPr>
        <w:tc>
          <w:tcPr>
            <w:vMerge/>
          </w:tcPr>
          <w:p/>
        </w:tc>
        <w:tc>
          <w:p>
            <w:pPr>
              <w:keepNext w:val="true"/>
              <w:spacing w:before="100" w:after="0"/>
              <w:rPr>
                <w:b/>
              </w:rPr>
            </w:pPr>
            <w:r>
              <w:rPr>
                <w:b/>
              </w:rPr>
              <w:t>Funding</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Description</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Target Date</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Estimate the number and type of families that will benefit from the proposed activities</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Location Description</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Planned Activities</w:t>
            </w:r>
          </w:p>
        </w:tc>
        <w:tc>
          <w:p>
            <w:pPr>
              <w:spacing w:before="100" w:after="0"/>
            </w:pPr>
            <w:r>
              <w:rPr>
                <w:rFonts w:ascii="Calibri" w:hAnsi="Calibri"/>
                <w:color w:val="000000"/>
                <w:sz w:val="22"/>
              </w:rPr>
              <w:t xml:space="preserve"> </w:t>
            </w:r>
          </w:p>
        </w:tc>
      </w:tr>
      <w:tr>
        <w:trPr>
          <w:cantSplit w:val="true"/>
        </w:trPr>
        <w:tc>
          <w:tcPr>
            <w:vMerge w:val="restart"/>
          </w:tcPr>
          <w:p>
            <w:r>
              <w:rPr>
                <w:b w:val="true"/>
              </w:rPr>
              <w:t>10</w:t>
            </w:r>
          </w:p>
        </w:tc>
        <w:tc>
          <w:p>
            <w:pPr>
              <w:keepNext w:val="true"/>
              <w:spacing w:before="100" w:after="0"/>
              <w:rPr>
                <w:b/>
              </w:rPr>
            </w:pPr>
            <w:r>
              <w:rPr>
                <w:b/>
              </w:rPr>
              <w:t>Project Name</w:t>
            </w:r>
          </w:p>
        </w:tc>
        <w:tc>
          <w:p>
            <w:pPr>
              <w:spacing w:before="100" w:after="0"/>
            </w:pPr>
            <w:r>
              <w:rPr>
                <w:rFonts w:ascii="Calibri" w:hAnsi="Calibri"/>
                <w:color w:val="000000"/>
                <w:sz w:val="22"/>
              </w:rPr>
              <w:t xml:space="preserve">Corp Yard Affordable Housing Project</w:t>
            </w:r>
          </w:p>
        </w:tc>
      </w:tr>
      <w:tr>
        <w:trPr>
          <w:cantSplit w:val="true"/>
        </w:trPr>
        <w:tc>
          <w:tcPr>
            <w:vMerge/>
          </w:tcPr>
          <w:p/>
        </w:tc>
        <w:tc>
          <w:p>
            <w:pPr>
              <w:keepNext w:val="true"/>
              <w:spacing w:before="100" w:after="0"/>
              <w:rPr>
                <w:b/>
              </w:rPr>
            </w:pPr>
            <w:r>
              <w:rPr>
                <w:b/>
              </w:rPr>
              <w:t>Target Area</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Goals Supported</w:t>
            </w:r>
          </w:p>
        </w:tc>
        <w:tc>
          <w:p>
            <w:pPr>
              <w:spacing w:before="100" w:after="0"/>
            </w:pPr>
            <w:r>
              <w:rPr>
                <w:rFonts w:ascii="Calibri" w:hAnsi="Calibri"/>
                <w:color w:val="000000"/>
                <w:sz w:val="22"/>
              </w:rPr>
              <w:t xml:space="preserve">Affordable Housing</w:t>
            </w:r>
          </w:p>
        </w:tc>
      </w:tr>
      <w:tr>
        <w:trPr>
          <w:cantSplit w:val="true"/>
        </w:trPr>
        <w:tc>
          <w:tcPr>
            <w:vMerge/>
          </w:tcPr>
          <w:p/>
        </w:tc>
        <w:tc>
          <w:p>
            <w:pPr>
              <w:keepNext w:val="true"/>
              <w:spacing w:before="100" w:after="0"/>
              <w:rPr>
                <w:b/>
              </w:rPr>
            </w:pPr>
            <w:r>
              <w:rPr>
                <w:b/>
              </w:rPr>
              <w:t>Needs Addressed</w:t>
            </w:r>
          </w:p>
        </w:tc>
        <w:tc>
          <w:p>
            <w:pPr>
              <w:spacing w:before="100" w:after="0"/>
            </w:pPr>
            <w:r>
              <w:rPr>
                <w:rFonts w:ascii="Calibri" w:hAnsi="Calibri"/>
                <w:color w:val="000000"/>
                <w:sz w:val="22"/>
              </w:rPr>
              <w:t xml:space="preserve">Affordable Housing</w:t>
            </w:r>
          </w:p>
        </w:tc>
      </w:tr>
      <w:tr>
        <w:trPr>
          <w:cantSplit w:val="true"/>
        </w:trPr>
        <w:tc>
          <w:tcPr>
            <w:vMerge/>
          </w:tcPr>
          <w:p/>
        </w:tc>
        <w:tc>
          <w:p>
            <w:pPr>
              <w:keepNext w:val="true"/>
              <w:spacing w:before="100" w:after="0"/>
              <w:rPr>
                <w:b/>
              </w:rPr>
            </w:pPr>
            <w:r>
              <w:rPr>
                <w:b/>
              </w:rPr>
              <w:t>Funding</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Description</w:t>
            </w:r>
          </w:p>
        </w:tc>
        <w:tc>
          <w:p>
            <w:pPr>
              <w:spacing w:before="100" w:after="0"/>
            </w:pPr>
            <w:r>
              <w:rPr>
                <w:rFonts w:ascii="Calibri" w:hAnsi="Calibri"/>
                <w:color w:val="000000"/>
                <w:sz w:val="22"/>
              </w:rPr>
              <w:t xml:space="preserve">Corp Yard affordable housing project consists of the construction of 62 affordable rental units.</w:t>
            </w:r>
          </w:p>
        </w:tc>
      </w:tr>
      <w:tr>
        <w:trPr>
          <w:cantSplit w:val="true"/>
        </w:trPr>
        <w:tc>
          <w:tcPr>
            <w:vMerge/>
          </w:tcPr>
          <w:p/>
        </w:tc>
        <w:tc>
          <w:p>
            <w:pPr>
              <w:keepNext w:val="true"/>
              <w:spacing w:before="100" w:after="0"/>
              <w:rPr>
                <w:b/>
              </w:rPr>
            </w:pPr>
            <w:r>
              <w:rPr>
                <w:b/>
              </w:rPr>
              <w:t>Target Date</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Estimate the number and type of families that will benefit from the proposed activities</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Location Description</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Planned Activities</w:t>
            </w:r>
          </w:p>
        </w:tc>
        <w:tc>
          <w:p>
            <w:pPr>
              <w:spacing w:before="100" w:after="0"/>
            </w:pPr>
            <w:r>
              <w:rPr>
                <w:rFonts w:ascii="Calibri" w:hAnsi="Calibri"/>
                <w:color w:val="000000"/>
                <w:sz w:val="22"/>
              </w:rPr>
              <w:t xml:space="preserve"> </w:t>
            </w:r>
          </w:p>
        </w:tc>
      </w:tr>
      <w:tr>
        <w:trPr>
          <w:cantSplit w:val="true"/>
        </w:trPr>
        <w:tc>
          <w:tcPr>
            <w:vMerge w:val="restart"/>
          </w:tcPr>
          <w:p>
            <w:r>
              <w:rPr>
                <w:b w:val="true"/>
              </w:rPr>
              <w:t>11</w:t>
            </w:r>
          </w:p>
        </w:tc>
        <w:tc>
          <w:p>
            <w:pPr>
              <w:keepNext w:val="true"/>
              <w:spacing w:before="100" w:after="0"/>
              <w:rPr>
                <w:b/>
              </w:rPr>
            </w:pPr>
            <w:r>
              <w:rPr>
                <w:b/>
              </w:rPr>
              <w:t>Project Name</w:t>
            </w:r>
          </w:p>
        </w:tc>
        <w:tc>
          <w:p>
            <w:pPr>
              <w:spacing w:before="100" w:after="0"/>
            </w:pPr>
            <w:r>
              <w:rPr>
                <w:rFonts w:ascii="Calibri" w:hAnsi="Calibri"/>
                <w:color w:val="000000"/>
                <w:sz w:val="22"/>
              </w:rPr>
              <w:t xml:space="preserve">HOME Program Administration</w:t>
            </w:r>
          </w:p>
        </w:tc>
      </w:tr>
      <w:tr>
        <w:trPr>
          <w:cantSplit w:val="true"/>
        </w:trPr>
        <w:tc>
          <w:tcPr>
            <w:vMerge/>
          </w:tcPr>
          <w:p/>
        </w:tc>
        <w:tc>
          <w:p>
            <w:pPr>
              <w:keepNext w:val="true"/>
              <w:spacing w:before="100" w:after="0"/>
              <w:rPr>
                <w:b/>
              </w:rPr>
            </w:pPr>
            <w:r>
              <w:rPr>
                <w:b/>
              </w:rPr>
              <w:t>Target Area</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Goals Supported</w:t>
            </w:r>
          </w:p>
        </w:tc>
        <w:tc>
          <w:p>
            <w:pPr>
              <w:spacing w:before="100" w:after="0"/>
            </w:pPr>
            <w:r>
              <w:rPr>
                <w:rFonts w:ascii="Calibri" w:hAnsi="Calibri"/>
                <w:color w:val="000000"/>
                <w:sz w:val="22"/>
              </w:rPr>
              <w:t xml:space="preserve">Affordable Housing</w:t>
            </w:r>
          </w:p>
        </w:tc>
      </w:tr>
      <w:tr>
        <w:trPr>
          <w:cantSplit w:val="true"/>
        </w:trPr>
        <w:tc>
          <w:tcPr>
            <w:vMerge/>
          </w:tcPr>
          <w:p/>
        </w:tc>
        <w:tc>
          <w:p>
            <w:pPr>
              <w:keepNext w:val="true"/>
              <w:spacing w:before="100" w:after="0"/>
              <w:rPr>
                <w:b/>
              </w:rPr>
            </w:pPr>
            <w:r>
              <w:rPr>
                <w:b/>
              </w:rPr>
              <w:t>Needs Addressed</w:t>
            </w:r>
          </w:p>
        </w:tc>
        <w:tc>
          <w:p>
            <w:pPr>
              <w:spacing w:before="100" w:after="0"/>
            </w:pPr>
            <w:r>
              <w:rPr>
                <w:rFonts w:ascii="Calibri" w:hAnsi="Calibri"/>
                <w:color w:val="000000"/>
                <w:sz w:val="22"/>
              </w:rPr>
              <w:t xml:space="preserve">Affordable Housing</w:t>
            </w:r>
          </w:p>
        </w:tc>
      </w:tr>
      <w:tr>
        <w:trPr>
          <w:cantSplit w:val="true"/>
        </w:trPr>
        <w:tc>
          <w:tcPr>
            <w:vMerge/>
          </w:tcPr>
          <w:p/>
        </w:tc>
        <w:tc>
          <w:p>
            <w:pPr>
              <w:keepNext w:val="true"/>
              <w:spacing w:before="100" w:after="0"/>
              <w:rPr>
                <w:b/>
              </w:rPr>
            </w:pPr>
            <w:r>
              <w:rPr>
                <w:b/>
              </w:rPr>
              <w:t>Funding</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b/>
              </w:rPr>
            </w:pPr>
            <w:r>
              <w:rPr>
                <w:b/>
              </w:rPr>
              <w:t>Description</w:t>
            </w:r>
          </w:p>
        </w:tc>
        <w:tc>
          <w:p>
            <w:pPr>
              <w:spacing w:before="100" w:after="0"/>
            </w:pPr>
            <w:r>
              <w:rPr>
                <w:rFonts w:ascii="Calibri" w:hAnsi="Calibri"/>
                <w:color w:val="000000"/>
                <w:sz w:val="22"/>
              </w:rPr>
              <w:t xml:space="preserve">HOME Program Administration</w:t>
            </w:r>
          </w:p>
        </w:tc>
      </w:tr>
      <w:tr>
        <w:trPr>
          <w:cantSplit w:val="true"/>
        </w:trPr>
        <w:tc>
          <w:tcPr>
            <w:vMerge/>
          </w:tcPr>
          <w:p/>
        </w:tc>
        <w:tc>
          <w:p>
            <w:pPr>
              <w:keepNext w:val="true"/>
              <w:spacing w:before="100" w:after="0"/>
              <w:rPr>
                <w:b/>
              </w:rPr>
            </w:pPr>
            <w:r>
              <w:rPr>
                <w:b/>
              </w:rPr>
              <w:t>Target Date</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Estimate the number and type of families that will benefit from the proposed activities</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Location Description</w:t>
            </w:r>
          </w:p>
        </w:tc>
        <w:tc>
          <w:p>
            <w:pPr>
              <w:spacing w:before="100" w:after="0"/>
            </w:pPr>
            <w:r>
              <w:rPr>
                <w:rFonts w:ascii="Calibri" w:hAnsi="Calibri"/>
                <w:color w:val="000000"/>
                <w:sz w:val="22"/>
              </w:rPr>
              <w:t xml:space="preserve"> </w:t>
            </w:r>
          </w:p>
        </w:tc>
      </w:tr>
      <w:tr>
        <w:trPr>
          <w:cantSplit w:val="true"/>
        </w:trPr>
        <w:tc>
          <w:tcPr>
            <w:vMerge/>
          </w:tcPr>
          <w:p/>
        </w:tc>
        <w:tc>
          <w:p>
            <w:pPr>
              <w:keepNext w:val="true"/>
              <w:spacing w:before="100" w:after="0"/>
              <w:rPr>
                <w:rFonts w:asciiTheme="minorHAnsi" w:hAnsiTheme="minorHAnsi"/>
                <w:b/>
              </w:rPr>
            </w:pPr>
            <w:r>
              <w:rPr>
                <w:rStyle w:val="Strong"/>
                <w:rFonts w:asciiTheme="minorHAnsi" w:hAnsiTheme="minorHAnsi"/>
              </w:rPr>
              <w:t>Planned Activities</w:t>
            </w:r>
          </w:p>
        </w:tc>
        <w:tc>
          <w:p>
            <w:pPr>
              <w:spacing w:before="100" w:after="0"/>
            </w:pPr>
            <w:r>
              <w:rPr>
                <w:rFonts w:ascii="Calibri" w:hAnsi="Calibri"/>
                <w:color w:val="000000"/>
                <w:sz w:val="22"/>
              </w:rPr>
              <w:t xml:space="preserve">HOME program administration.</w:t>
            </w:r>
          </w:p>
        </w:tc>
      </w:tr>
    </w:tbl>
    <w:p>
      <w:pPr>
        <w:pStyle w:val="Heading2"/>
        <w:pageBreakBefore/>
        <w:widowControl w:val="false"/>
        <w:rPr>
          <w:rFonts w:ascii="Calibri" w:hAnsi="Calibri"/>
          <w:i w:val="false"/>
        </w:rPr>
      </w:pPr>
      <w:bookmarkStart w:id="2" w:name="_Toc309810477"/>
      <w:bookmarkEnd w:id="1"/>
      <w:r>
        <w:rPr>
          <w:rFonts w:ascii="Calibri" w:hAnsi="Calibri"/>
          <w:i w:val="false"/>
        </w:rPr>
        <w:t xml:space="preserve">AP-50 Geographic Distribution – 91.220(f) </w:t>
      </w:r>
      <w:bookmarkEnd w:id="2"/>
    </w:p>
    <w:p>
      <w:pPr>
        <w:keepNext/>
        <w:widowControl w:val="false"/>
        <w:rPr>
          <w:b/>
          <w:sz w:val="24"/>
          <w:szCs w:val="24"/>
        </w:rPr>
      </w:pPr>
      <w:r>
        <w:rPr>
          <w:b/>
          <w:sz w:val="24"/>
          <w:szCs w:val="24"/>
        </w:rPr>
        <w:t xml:space="preserve">Description of the geographic areas of the entitlement (including areas of low-income and minority concentration) where assistance will be directed </w:t>
      </w:r>
    </w:p>
    <w:p>
      <w:pPr>
        <w:keepNext/>
        <w:widowControl w:val="false"/>
        <w:spacing w:beforeAutospacing="true" w:afterAutospacing="true"/>
        <w:rPr>
          <w:rFonts w:cs="Arial"/>
          <w:szCs w:val="26"/>
        </w:rPr>
      </w:pPr>
      <w:r>
        <w:rPr>
          <w:rFonts w:cs="Arial"/>
        </w:rPr>
        <w:t xml:space="preserve">The City selected projects for funding that benefit low and moderate income neighborhoods.  Activities that provide direct/individual benefit will also be offered on a citywide basis to low and moderate income households.</w:t>
      </w:r>
    </w:p>
    <w:p>
      <w:pPr>
        <w:keepNext/>
        <w:widowControl w:val="false"/>
        <w:rPr>
          <w:b/>
          <w:sz w:val="24"/>
          <w:szCs w:val="24"/>
        </w:rPr>
      </w:pPr>
      <w:r>
        <w:rPr>
          <w:b/>
          <w:sz w:val="24"/>
          <w:szCs w:val="24"/>
        </w:rPr>
        <w:t>Geographic Distribution</w:t>
      </w:r>
    </w:p>
    <w:tbl>
      <w:tblPr>
        <w:tblW w:w="0" w:type="auto"/>
        <w:tblInd w:w="1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firstRow="1" w:lastRow="1" w:firstColumn="1" w:lastColumn="1" w:noHBand="0" w:noVBand="0" w:val="01E0"/>
      </w:tblPr>
      <w:tblGrid>
        <w:gridCol w:w="3654"/>
        <w:gridCol w:w="5807"/>
      </w:tblGrid>
      <w:tr>
        <w:trPr>
          <w:cantSplit/>
          <w:tblHeader/>
        </w:trPr>
        <w:tc>
          <w:tcPr>
            <w:tcW w:w="0" w:type="auto"/>
          </w:tcPr>
          <w:p>
            <w:pPr>
              <w:keepNext/>
              <w:widowControl w:val="false"/>
              <w:spacing w:after="0" w:line="240" w:lineRule="auto"/>
              <w:jc w:val="center"/>
              <w:rPr>
                <w:b/>
                <w:szCs w:val="24"/>
              </w:rPr>
            </w:pPr>
            <w:r>
              <w:rPr>
                <w:b/>
              </w:rPr>
              <w:t>Target Area</w:t>
            </w:r>
          </w:p>
        </w:tc>
        <w:tc>
          <w:tcPr>
            <w:tcW w:w="0" w:type="auto"/>
          </w:tcPr>
          <w:p>
            <w:pPr>
              <w:keepNext/>
              <w:widowControl w:val="false"/>
              <w:spacing w:after="0" w:line="240" w:lineRule="auto"/>
              <w:jc w:val="center"/>
              <w:rPr>
                <w:b/>
                <w:szCs w:val="24"/>
              </w:rPr>
            </w:pPr>
            <w:r>
              <w:rPr>
                <w:b/>
              </w:rPr>
              <w:t>Percentage of Funds</w:t>
            </w:r>
          </w:p>
        </w:tc>
      </w:tr>
      <w:tr>
        <w:trPr>
          <w:cantSplit w:val="true"/>
        </w:trPr>
        <w:tc>
          <w:tcPr>
            <w:vAlign w:val="top"/>
          </w:tcPr>
          <w:p>
            <w:pPr>
              <w:spacing w:beforeAutospacing="true" w:afterAutospacing="true"/>
              <w:jc w:val="left"/>
            </w:pPr>
            <w:r>
              <w:rPr>
                <w:rFonts w:ascii="Calibri" w:hAnsi="Calibri"/>
                <w:color w:val="000000"/>
                <w:sz w:val="22"/>
              </w:rPr>
              <w:t xml:space="preserve">Low and Moderate Income Areas</w:t>
            </w:r>
          </w:p>
        </w:tc>
        <w:tc>
          <w:tcPr>
            <w:vAlign w:val="bottom"/>
          </w:tcPr>
          <w:p>
            <w:pPr>
              <w:spacing w:beforeAutospacing="true" w:afterAutospacing="true"/>
              <w:jc w:val="right"/>
            </w:pPr>
            <w:r>
              <w:rPr>
                <w:rFonts w:ascii="Calibri" w:hAnsi="Calibri"/>
                <w:color w:val="000000"/>
                <w:sz w:val="22"/>
              </w:rPr>
              <w:t xml:space="preserve">100</w:t>
            </w:r>
          </w:p>
        </w:tc>
      </w:tr>
    </w:tbl>
    <w:p>
      <w:pPr>
        <w:pStyle w:val="Caption"/>
        <w:rPr>
          <w:rFonts w:asciiTheme="minorHAnsi" w:hAnsiTheme="minorHAnsi"/>
        </w:rPr>
      </w:pPr>
      <w:r>
        <w:rPr>
          <w:rFonts w:asciiTheme="minorHAnsi" w:hAnsiTheme="minorHAnsi"/>
        </w:rPr>
        <w:t xml:space="preserve">Table </w:t>
        <w:fldChar w:fldCharType="begin"/>
        <w:instrText xml:space="preserve"> SEQ Table \* ARABIC </w:instrText>
        <w:fldChar w:fldCharType="separate"/>
        <w:t>4</w:t>
        <w:fldChar w:fldCharType="end"/>
        <w:t xml:space="preserve"> - Geographic Distribution </w:t>
      </w:r>
    </w:p>
    <w:p>
      <w:pPr>
        <w:spacing w:after="0" w:line="240" w:lineRule="auto"/>
        <w:rPr>
          <w:b/>
          <w:sz w:val="24"/>
          <w:szCs w:val="24"/>
        </w:rPr>
      </w:pPr>
    </w:p>
    <w:p>
      <w:pPr>
        <w:keepNext/>
        <w:widowControl w:val="false"/>
        <w:rPr>
          <w:b/>
          <w:sz w:val="24"/>
          <w:szCs w:val="24"/>
        </w:rPr>
      </w:pPr>
      <w:r>
        <w:rPr>
          <w:b/>
          <w:sz w:val="24"/>
          <w:szCs w:val="24"/>
        </w:rPr>
        <w:t xml:space="preserve">Rationale for the priorities for allocating investments geographically </w:t>
      </w:r>
    </w:p>
    <w:p>
      <w:pPr>
        <w:keepNext/>
        <w:widowControl w:val="false"/>
        <w:spacing w:beforeAutospacing="true" w:afterAutospacing="true"/>
        <w:rPr>
          <w:rFonts w:cs="Arial"/>
          <w:szCs w:val="24"/>
        </w:rPr>
      </w:pPr>
      <w:r>
        <w:rPr>
          <w:rFonts w:cs="Arial"/>
        </w:rPr>
        <w:t xml:space="preserve">Funds are targeted to meet the National Objective of benefitting low and moderate income persons.</w:t>
      </w:r>
    </w:p>
    <w:p>
      <w:pPr>
        <w:keepNext/>
        <w:widowControl w:val="false"/>
        <w:spacing w:line="204" w:lineRule="auto"/>
        <w:rPr>
          <w:b/>
          <w:sz w:val="24"/>
          <w:szCs w:val="24"/>
        </w:rPr>
      </w:pPr>
      <w:r>
        <w:rPr>
          <w:b/>
          <w:sz w:val="24"/>
          <w:szCs w:val="24"/>
        </w:rPr>
        <w:t>Discussion</w:t>
      </w:r>
    </w:p>
    <w:p>
      <w:pPr>
        <w:keepNext/>
        <w:widowControl w:val="false"/>
        <w:spacing w:beforeAutospacing="true" w:afterAutospacing="true"/>
        <w:rPr>
          <w:b/>
          <w:sz w:val="24"/>
          <w:szCs w:val="24"/>
        </w:rPr>
      </w:pPr>
      <w:r>
        <w:rPr>
          <w:rFonts w:cs="Arial"/>
        </w:rPr>
        <w:t xml:space="preserve">The City allocates its CDBG funds to public facilities projects such as street improvements and accessibility improvements for the libraries as well as to public services that benefit low and moderate income persons.</w:t>
      </w:r>
    </w:p>
    <w:p>
      <w:pPr>
        <w:rPr>
          <w:rFonts w:cs="Arial"/>
        </w:rPr>
      </w:pPr>
    </w:p>
    <w:p>
      <w:pPr>
        <w:pStyle w:val="Heading1"/>
        <w:pageBreakBefore/>
        <w:jc w:val="center"/>
        <w:rPr>
          <w:rFonts w:ascii="Calibri" w:hAnsi="Calibri"/>
          <w:color w:val="auto"/>
          <w:sz w:val="32"/>
          <w:szCs w:val="32"/>
        </w:rPr>
      </w:pPr>
      <w:r>
        <w:rPr>
          <w:rFonts w:ascii="Calibri" w:hAnsi="Calibri"/>
          <w:color w:val="auto"/>
          <w:sz w:val="32"/>
          <w:szCs w:val="32"/>
        </w:rPr>
        <w:t xml:space="preserve">Affordable Housing </w:t>
      </w:r>
    </w:p>
    <w:p>
      <w:pPr>
        <w:pStyle w:val="Heading2"/>
        <w:widowControl w:val="false"/>
        <w:rPr>
          <w:rFonts w:ascii="Calibri" w:hAnsi="Calibri"/>
          <w:i w:val="false"/>
        </w:rPr>
      </w:pPr>
      <w:r>
        <w:rPr>
          <w:rFonts w:ascii="Calibri" w:hAnsi="Calibri"/>
          <w:i w:val="false"/>
        </w:rPr>
        <w:t xml:space="preserve">AP-55 Affordable Housing – 91.220(g) </w:t>
      </w:r>
    </w:p>
    <w:p>
      <w:pPr>
        <w:keepNext/>
        <w:widowControl w:val="false"/>
        <w:spacing w:line="204" w:lineRule="auto"/>
        <w:rPr>
          <w:b/>
          <w:sz w:val="28"/>
          <w:szCs w:val="28"/>
        </w:rPr>
      </w:pPr>
      <w:r>
        <w:rPr>
          <w:b/>
          <w:sz w:val="24"/>
          <w:szCs w:val="24"/>
        </w:rPr>
        <w:t>Introduction</w:t>
      </w:r>
    </w:p>
    <w:p>
      <w:pPr>
        <w:keepNext/>
        <w:widowControl w:val="false"/>
        <w:spacing w:beforeAutospacing="true" w:afterAutospacing="true"/>
        <w:rPr>
          <w:b/>
          <w:sz w:val="24"/>
          <w:szCs w:val="24"/>
        </w:rPr>
      </w:pPr>
      <w:r>
        <w:rPr/>
        <w:t xml:space="preserve">During the needs assessment process, the City identified affordable housing as a priority need. The City takes every opportunity to allocate CDBG and HOME funds to affordable housing projects.  The City allocated $1.6 million in HOME funds to the Corp Yard Affordable Housing project for the construction of 62 rental units for low income families.  The City continues to collaborate with Orange County Housing Authority to continue providing Section 8 Rental Assistance/Housing Choice Vouchers to low income households.  </w:t>
      </w:r>
    </w:p>
    <w:tbl>
      <w:tblPr>
        <w:tblW w:w="0" w:type="auto"/>
        <w:tblInd w:w="1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firstRow="1" w:lastRow="1" w:firstColumn="1" w:lastColumn="1" w:noHBand="0" w:noVBand="0" w:val="01E0"/>
      </w:tblPr>
      <w:tblGrid>
        <w:gridCol w:w="4853"/>
        <w:gridCol w:w="1620"/>
      </w:tblGrid>
      <w:tr>
        <w:trPr>
          <w:cantSplit/>
          <w:tblHeader/>
        </w:trPr>
        <w:tc>
          <w:tcPr>
            <w:tcW w:w="6473" w:type="dxa"/>
            <w:gridSpan w:val="2"/>
          </w:tcPr>
          <w:p>
            <w:pPr>
              <w:keepNext/>
              <w:widowControl w:val="false"/>
              <w:spacing w:after="0" w:line="240" w:lineRule="auto"/>
              <w:jc w:val="center"/>
              <w:rPr>
                <w:b/>
                <w:szCs w:val="24"/>
              </w:rPr>
            </w:pPr>
            <w:r>
              <w:rPr>
                <w:b/>
              </w:rPr>
              <w:t>One Year Goals for the Number of Households to be Supported</w:t>
            </w:r>
          </w:p>
        </w:tc>
      </w:tr>
      <w:tr>
        <w:trPr>
          <w:cantSplit w:val="true"/>
        </w:trPr>
        <w:tc>
          <w:tcPr>
            <w:tcBorders>
              <w:top w:val="nil"/>
              <w:bottom w:val="nil"/>
            </w:tcBorders>
            <w:vAlign w:val="bottom"/>
          </w:tcPr>
          <w:p>
            <w:pPr>
              <w:spacing w:beforeAutospacing="true" w:afterAutospacing="true"/>
              <w:jc w:val="left"/>
            </w:pPr>
            <w:r>
              <w:rPr>
                <w:rFonts w:ascii="Calibri" w:hAnsi="Calibri"/>
                <w:color w:val="000000"/>
                <w:sz w:val="22"/>
              </w:rPr>
              <w:t xml:space="preserve">Homeless</w:t>
            </w:r>
          </w:p>
        </w:tc>
        <w:tc>
          <w:tcPr>
            <w:tcBorders>
              <w:top w:val="nil"/>
              <w:bottom w:val="nil"/>
            </w:tcBorders>
            <w:vAlign w:val="bottom"/>
          </w:tcPr>
          <w:p>
            <w:pPr>
              <w:spacing w:beforeAutospacing="true" w:afterAutospacing="true"/>
              <w:jc w:val="right"/>
            </w:pPr>
            <w:r>
              <w:rPr>
                <w:rFonts w:ascii="Calibri" w:hAnsi="Calibri"/>
                <w:color w:val="000000"/>
                <w:sz w:val="22"/>
              </w:rPr>
              <w:t xml:space="preserve">0</w:t>
            </w:r>
          </w:p>
        </w:tc>
      </w:tr>
      <w:tr>
        <w:trPr>
          <w:cantSplit w:val="true"/>
        </w:trPr>
        <w:tc>
          <w:tcPr>
            <w:tcBorders>
              <w:top w:val="nil"/>
              <w:bottom w:val="nil"/>
            </w:tcBorders>
            <w:vAlign w:val="bottom"/>
          </w:tcPr>
          <w:p>
            <w:pPr>
              <w:spacing w:beforeAutospacing="true" w:afterAutospacing="true"/>
              <w:jc w:val="left"/>
            </w:pPr>
            <w:r>
              <w:rPr>
                <w:rFonts w:ascii="Calibri" w:hAnsi="Calibri"/>
                <w:color w:val="000000"/>
                <w:sz w:val="22"/>
              </w:rPr>
              <w:t xml:space="preserve">Non-Homeless</w:t>
            </w:r>
          </w:p>
        </w:tc>
        <w:tc>
          <w:tcPr>
            <w:tcBorders>
              <w:top w:val="nil"/>
              <w:bottom w:val="nil"/>
            </w:tcBorders>
            <w:vAlign w:val="bottom"/>
          </w:tcPr>
          <w:p>
            <w:pPr>
              <w:spacing w:beforeAutospacing="true" w:afterAutospacing="true"/>
              <w:jc w:val="right"/>
            </w:pPr>
            <w:r>
              <w:rPr>
                <w:rFonts w:ascii="Calibri" w:hAnsi="Calibri"/>
                <w:color w:val="000000"/>
                <w:sz w:val="22"/>
              </w:rPr>
              <w:t xml:space="preserve">400</w:t>
            </w:r>
          </w:p>
        </w:tc>
      </w:tr>
      <w:tr>
        <w:trPr>
          <w:cantSplit w:val="true"/>
        </w:trPr>
        <w:tc>
          <w:tcPr>
            <w:tcBorders>
              <w:top w:val="nil"/>
              <w:bottom w:val="nil"/>
            </w:tcBorders>
            <w:vAlign w:val="bottom"/>
          </w:tcPr>
          <w:p>
            <w:pPr>
              <w:spacing w:beforeAutospacing="true" w:afterAutospacing="true"/>
              <w:jc w:val="left"/>
            </w:pPr>
            <w:r>
              <w:rPr>
                <w:rFonts w:ascii="Calibri" w:hAnsi="Calibri"/>
                <w:color w:val="000000"/>
                <w:sz w:val="22"/>
              </w:rPr>
              <w:t xml:space="preserve">Special-Needs</w:t>
            </w:r>
          </w:p>
        </w:tc>
        <w:tc>
          <w:tcPr>
            <w:tcBorders>
              <w:top w:val="nil"/>
              <w:bottom w:val="nil"/>
            </w:tcBorders>
            <w:vAlign w:val="bottom"/>
          </w:tcPr>
          <w:p>
            <w:pPr>
              <w:spacing w:beforeAutospacing="true" w:afterAutospacing="true"/>
              <w:jc w:val="right"/>
            </w:pPr>
            <w:r>
              <w:rPr>
                <w:rFonts w:ascii="Calibri" w:hAnsi="Calibri"/>
                <w:color w:val="000000"/>
                <w:sz w:val="22"/>
              </w:rPr>
              <w:t xml:space="preserve">0</w:t>
            </w:r>
          </w:p>
        </w:tc>
      </w:tr>
      <w:tr>
        <w:trPr>
          <w:cantSplit w:val="true"/>
        </w:trPr>
        <w:tc>
          <w:tcPr>
            <w:tcBorders>
              <w:top w:val="nil"/>
              <w:bottom w:val="nil"/>
            </w:tcBorders>
            <w:vAlign w:val="bottom"/>
          </w:tcPr>
          <w:p>
            <w:pPr>
              <w:spacing w:beforeAutospacing="true" w:afterAutospacing="true"/>
              <w:jc w:val="left"/>
            </w:pPr>
            <w:r>
              <w:rPr>
                <w:rFonts w:ascii="Calibri" w:hAnsi="Calibri"/>
                <w:color w:val="000000"/>
                <w:sz w:val="22"/>
              </w:rPr>
              <w:t xml:space="preserve">Total</w:t>
            </w:r>
          </w:p>
        </w:tc>
        <w:tc>
          <w:tcPr>
            <w:tcBorders>
              <w:top w:val="nil"/>
              <w:bottom w:val="nil"/>
            </w:tcBorders>
            <w:vAlign w:val="bottom"/>
          </w:tcPr>
          <w:p>
            <w:pPr>
              <w:spacing w:beforeAutospacing="true" w:afterAutospacing="true"/>
              <w:jc w:val="right"/>
            </w:pPr>
            <w:r>
              <w:rPr>
                <w:rFonts w:ascii="Calibri" w:hAnsi="Calibri"/>
                <w:color w:val="000000"/>
                <w:sz w:val="22"/>
              </w:rPr>
              <w:t xml:space="preserve">400</w:t>
            </w:r>
          </w:p>
        </w:tc>
      </w:tr>
    </w:tbl>
    <w:p>
      <w:pPr>
        <w:pStyle w:val="Caption"/>
        <w:rPr>
          <w:rFonts w:asciiTheme="minorHAnsi" w:hAnsiTheme="minorHAnsi"/>
        </w:rPr>
      </w:pPr>
      <w:r>
        <w:rPr>
          <w:rFonts w:asciiTheme="minorHAnsi" w:hAnsiTheme="minorHAnsi"/>
        </w:rPr>
        <w:t xml:space="preserve">Table </w:t>
        <w:fldChar w:fldCharType="begin"/>
        <w:instrText xml:space="preserve"> SEQ Table \* ARABIC </w:instrText>
        <w:fldChar w:fldCharType="separate"/>
        <w:t>6</w:t>
        <w:fldChar w:fldCharType="end"/>
        <w:t xml:space="preserve"> - One Year Goals for Affordable Housing by Support Requirement</w:t>
      </w:r>
    </w:p>
    <w:p>
      <w:pPr>
        <w:rPr>
          <w:b/>
          <w:sz w:val="20"/>
          <w:szCs w:val="20"/>
        </w:rPr>
      </w:pPr>
    </w:p>
    <w:tbl>
      <w:tblPr>
        <w:tblW w:w="0" w:type="auto"/>
        <w:tblInd w:w="1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firstRow="1" w:lastRow="1" w:firstColumn="1" w:lastColumn="1" w:noHBand="0" w:noVBand="0" w:val="01E0"/>
      </w:tblPr>
      <w:tblGrid>
        <w:gridCol w:w="4853"/>
        <w:gridCol w:w="1620"/>
      </w:tblGrid>
      <w:tr>
        <w:trPr>
          <w:cantSplit/>
          <w:tblHeader/>
        </w:trPr>
        <w:tc>
          <w:tcPr>
            <w:tcW w:w="6473" w:type="dxa"/>
            <w:gridSpan w:val="2"/>
          </w:tcPr>
          <w:p>
            <w:pPr>
              <w:keepNext/>
              <w:widowControl w:val="false"/>
              <w:spacing w:after="0" w:line="240" w:lineRule="auto"/>
              <w:jc w:val="center"/>
              <w:rPr>
                <w:b/>
                <w:szCs w:val="24"/>
              </w:rPr>
            </w:pPr>
            <w:r>
              <w:rPr>
                <w:b/>
              </w:rPr>
              <w:t>One Year Goals for the Number of Households Supported Through</w:t>
            </w:r>
          </w:p>
        </w:tc>
      </w:tr>
      <w:tr>
        <w:trPr>
          <w:cantSplit w:val="true"/>
        </w:trPr>
        <w:tc>
          <w:tcPr>
            <w:tcBorders>
              <w:top w:val="nil"/>
              <w:bottom w:val="nil"/>
            </w:tcBorders>
            <w:vAlign w:val="bottom"/>
          </w:tcPr>
          <w:p>
            <w:pPr>
              <w:spacing w:beforeAutospacing="true" w:afterAutospacing="true"/>
              <w:jc w:val="left"/>
            </w:pPr>
            <w:r>
              <w:rPr>
                <w:rFonts w:ascii="Calibri" w:hAnsi="Calibri"/>
                <w:color w:val="000000"/>
                <w:sz w:val="22"/>
              </w:rPr>
              <w:t xml:space="preserve">Rental Assistance</w:t>
            </w:r>
          </w:p>
        </w:tc>
        <w:tc>
          <w:tcPr>
            <w:tcBorders>
              <w:top w:val="nil"/>
              <w:bottom w:val="nil"/>
            </w:tcBorders>
            <w:vAlign w:val="bottom"/>
          </w:tcPr>
          <w:p>
            <w:pPr>
              <w:spacing w:beforeAutospacing="true" w:afterAutospacing="true"/>
              <w:jc w:val="right"/>
            </w:pPr>
            <w:r>
              <w:rPr>
                <w:rFonts w:ascii="Calibri" w:hAnsi="Calibri"/>
                <w:color w:val="000000"/>
                <w:sz w:val="22"/>
              </w:rPr>
              <w:t xml:space="preserve">0</w:t>
            </w:r>
          </w:p>
        </w:tc>
      </w:tr>
      <w:tr>
        <w:trPr>
          <w:cantSplit w:val="true"/>
        </w:trPr>
        <w:tc>
          <w:tcPr>
            <w:tcBorders>
              <w:top w:val="nil"/>
              <w:bottom w:val="nil"/>
            </w:tcBorders>
            <w:vAlign w:val="bottom"/>
          </w:tcPr>
          <w:p>
            <w:pPr>
              <w:spacing w:beforeAutospacing="true" w:afterAutospacing="true"/>
              <w:jc w:val="left"/>
            </w:pPr>
            <w:r>
              <w:rPr>
                <w:rFonts w:ascii="Calibri" w:hAnsi="Calibri"/>
                <w:color w:val="000000"/>
                <w:sz w:val="22"/>
              </w:rPr>
              <w:t xml:space="preserve">The Production of New Units</w:t>
            </w:r>
          </w:p>
        </w:tc>
        <w:tc>
          <w:tcPr>
            <w:tcBorders>
              <w:top w:val="nil"/>
              <w:bottom w:val="nil"/>
            </w:tcBorders>
            <w:vAlign w:val="bottom"/>
          </w:tcPr>
          <w:p>
            <w:pPr>
              <w:spacing w:beforeAutospacing="true" w:afterAutospacing="true"/>
              <w:jc w:val="right"/>
            </w:pPr>
            <w:r>
              <w:rPr>
                <w:rFonts w:ascii="Calibri" w:hAnsi="Calibri"/>
                <w:color w:val="000000"/>
                <w:sz w:val="22"/>
              </w:rPr>
              <w:t xml:space="preserve">62</w:t>
            </w:r>
          </w:p>
        </w:tc>
      </w:tr>
      <w:tr>
        <w:trPr>
          <w:cantSplit w:val="true"/>
        </w:trPr>
        <w:tc>
          <w:tcPr>
            <w:tcBorders>
              <w:top w:val="nil"/>
              <w:bottom w:val="nil"/>
            </w:tcBorders>
            <w:vAlign w:val="bottom"/>
          </w:tcPr>
          <w:p>
            <w:pPr>
              <w:spacing w:beforeAutospacing="true" w:afterAutospacing="true"/>
              <w:jc w:val="left"/>
            </w:pPr>
            <w:r>
              <w:rPr>
                <w:rFonts w:ascii="Calibri" w:hAnsi="Calibri"/>
                <w:color w:val="000000"/>
                <w:sz w:val="22"/>
              </w:rPr>
              <w:t xml:space="preserve">Rehab of Existing Units</w:t>
            </w:r>
          </w:p>
        </w:tc>
        <w:tc>
          <w:tcPr>
            <w:tcBorders>
              <w:top w:val="nil"/>
              <w:bottom w:val="nil"/>
            </w:tcBorders>
            <w:vAlign w:val="bottom"/>
          </w:tcPr>
          <w:p>
            <w:pPr>
              <w:spacing w:beforeAutospacing="true" w:afterAutospacing="true"/>
              <w:jc w:val="right"/>
            </w:pPr>
            <w:r>
              <w:rPr>
                <w:rFonts w:ascii="Calibri" w:hAnsi="Calibri"/>
                <w:color w:val="000000"/>
                <w:sz w:val="22"/>
              </w:rPr>
              <w:t xml:space="preserve">0</w:t>
            </w:r>
          </w:p>
        </w:tc>
      </w:tr>
      <w:tr>
        <w:trPr>
          <w:cantSplit w:val="true"/>
        </w:trPr>
        <w:tc>
          <w:tcPr>
            <w:tcBorders>
              <w:top w:val="nil"/>
              <w:bottom w:val="nil"/>
            </w:tcBorders>
            <w:vAlign w:val="bottom"/>
          </w:tcPr>
          <w:p>
            <w:pPr>
              <w:spacing w:beforeAutospacing="true" w:afterAutospacing="true"/>
              <w:jc w:val="left"/>
            </w:pPr>
            <w:r>
              <w:rPr>
                <w:rFonts w:ascii="Calibri" w:hAnsi="Calibri"/>
                <w:color w:val="000000"/>
                <w:sz w:val="22"/>
              </w:rPr>
              <w:t xml:space="preserve">Acquisition of Existing Units</w:t>
            </w:r>
          </w:p>
        </w:tc>
        <w:tc>
          <w:tcPr>
            <w:tcBorders>
              <w:top w:val="nil"/>
              <w:bottom w:val="nil"/>
            </w:tcBorders>
            <w:vAlign w:val="bottom"/>
          </w:tcPr>
          <w:p>
            <w:pPr>
              <w:spacing w:beforeAutospacing="true" w:afterAutospacing="true"/>
              <w:jc w:val="right"/>
            </w:pPr>
            <w:r>
              <w:rPr>
                <w:rFonts w:ascii="Calibri" w:hAnsi="Calibri"/>
                <w:color w:val="000000"/>
                <w:sz w:val="22"/>
              </w:rPr>
              <w:t xml:space="preserve">0</w:t>
            </w:r>
          </w:p>
        </w:tc>
      </w:tr>
      <w:tr>
        <w:trPr>
          <w:cantSplit w:val="true"/>
        </w:trPr>
        <w:tc>
          <w:tcPr>
            <w:tcBorders>
              <w:top w:val="nil"/>
              <w:bottom w:val="nil"/>
            </w:tcBorders>
            <w:vAlign w:val="bottom"/>
          </w:tcPr>
          <w:p>
            <w:pPr>
              <w:spacing w:beforeAutospacing="true" w:afterAutospacing="true"/>
              <w:jc w:val="left"/>
            </w:pPr>
            <w:r>
              <w:rPr>
                <w:rFonts w:ascii="Calibri" w:hAnsi="Calibri"/>
                <w:color w:val="000000"/>
                <w:sz w:val="22"/>
              </w:rPr>
              <w:t xml:space="preserve">Total</w:t>
            </w:r>
          </w:p>
        </w:tc>
        <w:tc>
          <w:tcPr>
            <w:tcBorders>
              <w:top w:val="nil"/>
              <w:bottom w:val="nil"/>
            </w:tcBorders>
            <w:vAlign w:val="bottom"/>
          </w:tcPr>
          <w:p>
            <w:pPr>
              <w:spacing w:beforeAutospacing="true" w:afterAutospacing="true"/>
              <w:jc w:val="right"/>
            </w:pPr>
            <w:r>
              <w:rPr>
                <w:rFonts w:ascii="Calibri" w:hAnsi="Calibri"/>
                <w:color w:val="000000"/>
                <w:sz w:val="22"/>
              </w:rPr>
              <w:t xml:space="preserve">62</w:t>
            </w:r>
          </w:p>
        </w:tc>
      </w:tr>
    </w:tbl>
    <w:p>
      <w:pPr>
        <w:pStyle w:val="Caption"/>
        <w:rPr>
          <w:rFonts w:asciiTheme="minorHAnsi" w:hAnsiTheme="minorHAnsi"/>
        </w:rPr>
      </w:pPr>
      <w:r>
        <w:rPr>
          <w:rFonts w:asciiTheme="minorHAnsi" w:hAnsiTheme="minorHAnsi"/>
        </w:rPr>
        <w:t xml:space="preserve">Table </w:t>
        <w:fldChar w:fldCharType="begin"/>
        <w:instrText xml:space="preserve"> SEQ Table \* ARABIC </w:instrText>
        <w:fldChar w:fldCharType="separate"/>
        <w:t>7</w:t>
        <w:fldChar w:fldCharType="end"/>
        <w:t xml:space="preserve"> - One Year Goals for Affordable Housing by Support Type</w:t>
      </w:r>
    </w:p>
    <w:p>
      <w:pPr>
        <w:keepNext/>
        <w:widowControl w:val="false"/>
        <w:spacing w:line="204" w:lineRule="auto"/>
        <w:rPr>
          <w:b/>
          <w:sz w:val="24"/>
          <w:szCs w:val="24"/>
        </w:rPr>
      </w:pPr>
    </w:p>
    <w:p>
      <w:pPr>
        <w:keepNext/>
        <w:widowControl w:val="false"/>
        <w:spacing w:line="204" w:lineRule="auto"/>
        <w:rPr>
          <w:b/>
          <w:sz w:val="24"/>
          <w:szCs w:val="24"/>
        </w:rPr>
      </w:pPr>
      <w:r>
        <w:rPr>
          <w:b/>
          <w:sz w:val="24"/>
          <w:szCs w:val="24"/>
        </w:rPr>
        <w:t>Discussion</w:t>
      </w:r>
    </w:p>
    <w:p>
      <w:pPr>
        <w:keepNext/>
        <w:widowControl w:val="false"/>
        <w:spacing w:beforeAutospacing="true" w:afterAutospacing="true"/>
        <w:rPr>
          <w:b/>
          <w:sz w:val="24"/>
          <w:szCs w:val="24"/>
        </w:rPr>
      </w:pPr>
      <w:r>
        <w:rPr>
          <w:rFonts w:cs="Arial"/>
        </w:rPr>
        <w:t xml:space="preserve">See the previous section for discussion.</w:t>
      </w:r>
    </w:p>
    <w:p>
      <w:pPr>
        <w:rPr>
          <w:rFonts w:cs="Arial"/>
        </w:rPr>
      </w:pPr>
    </w:p>
    <w:p>
      <w:pPr>
        <w:rPr>
          <w:rFonts w:cs="Arial"/>
        </w:rPr>
      </w:pPr>
    </w:p>
    <w:p>
      <w:pPr>
        <w:pStyle w:val="Heading2"/>
        <w:pageBreakBefore/>
        <w:widowControl w:val="false"/>
        <w:rPr>
          <w:rFonts w:ascii="Calibri" w:hAnsi="Calibri"/>
          <w:i w:val="false"/>
        </w:rPr>
      </w:pPr>
      <w:r>
        <w:rPr>
          <w:rFonts w:ascii="Calibri" w:hAnsi="Calibri"/>
          <w:i w:val="false"/>
        </w:rPr>
        <w:t xml:space="preserve">AP-60 Public Housing </w:t>
      </w:r>
      <w:r>
        <w:t>–</w:t>
      </w:r>
      <w:r>
        <w:rPr>
          <w:i w:val="false"/>
        </w:rPr>
        <w:t xml:space="preserve"> 91.220(h)</w:t>
      </w:r>
    </w:p>
    <w:p>
      <w:pPr>
        <w:keepNext/>
        <w:widowControl w:val="false"/>
        <w:spacing w:line="204" w:lineRule="auto"/>
        <w:rPr>
          <w:b/>
          <w:sz w:val="24"/>
          <w:szCs w:val="24"/>
        </w:rPr>
      </w:pPr>
      <w:r>
        <w:rPr>
          <w:b/>
          <w:sz w:val="24"/>
          <w:szCs w:val="24"/>
        </w:rPr>
        <w:t>Introduction</w:t>
      </w:r>
    </w:p>
    <w:p>
      <w:pPr>
        <w:keepNext/>
        <w:widowControl w:val="false"/>
        <w:spacing w:beforeAutospacing="true" w:afterAutospacing="true"/>
        <w:rPr>
          <w:b/>
          <w:sz w:val="24"/>
          <w:szCs w:val="24"/>
        </w:rPr>
      </w:pPr>
      <w:r>
        <w:rPr>
          <w:rFonts w:cs="Arial"/>
        </w:rPr>
        <w:t xml:space="preserve">There is no public housing in the City of Orange.</w:t>
      </w:r>
    </w:p>
    <w:p>
      <w:pPr>
        <w:keepNext/>
        <w:widowControl w:val="false"/>
        <w:rPr>
          <w:b/>
          <w:sz w:val="24"/>
          <w:szCs w:val="24"/>
        </w:rPr>
      </w:pPr>
      <w:r>
        <w:rPr>
          <w:b/>
          <w:sz w:val="24"/>
          <w:szCs w:val="24"/>
        </w:rPr>
        <w:t>Actions planned during the next year to address the needs to public housing</w:t>
      </w:r>
    </w:p>
    <w:p>
      <w:pPr>
        <w:keepNext/>
        <w:widowControl w:val="false"/>
        <w:spacing w:beforeAutospacing="true" w:afterAutospacing="true"/>
        <w:rPr>
          <w:rFonts w:cs="Arial"/>
        </w:rPr>
      </w:pPr>
      <w:r>
        <w:rPr>
          <w:rFonts w:cs="Arial"/>
        </w:rPr>
        <w:t xml:space="preserve">Not Applicable</w:t>
      </w:r>
    </w:p>
    <w:p>
      <w:pPr>
        <w:keepNext/>
        <w:widowControl w:val="false"/>
        <w:rPr>
          <w:b/>
          <w:sz w:val="24"/>
          <w:szCs w:val="24"/>
        </w:rPr>
      </w:pPr>
      <w:r>
        <w:rPr>
          <w:b/>
          <w:sz w:val="24"/>
          <w:szCs w:val="24"/>
        </w:rPr>
        <w:t>Actions to encourage public housing residents to become more involved in management and participate in homeownership</w:t>
      </w:r>
    </w:p>
    <w:p>
      <w:pPr>
        <w:keepNext/>
        <w:widowControl w:val="false"/>
        <w:spacing w:beforeAutospacing="true" w:afterAutospacing="true"/>
        <w:rPr>
          <w:rFonts w:cs="Arial"/>
        </w:rPr>
      </w:pPr>
      <w:r>
        <w:rPr>
          <w:rFonts w:cs="Arial"/>
        </w:rPr>
        <w:t xml:space="preserve">Not Applicable</w:t>
      </w:r>
    </w:p>
    <w:p>
      <w:pPr>
        <w:keepNext/>
        <w:widowControl w:val="false"/>
        <w:rPr>
          <w:b/>
          <w:sz w:val="24"/>
          <w:szCs w:val="24"/>
        </w:rPr>
      </w:pPr>
      <w:r>
        <w:rPr>
          <w:b/>
          <w:sz w:val="24"/>
          <w:szCs w:val="24"/>
        </w:rPr>
        <w:t xml:space="preserve">If the PHA is designated as troubled, describe the manner in which financial assistance will be provided or other assistance </w:t>
      </w:r>
    </w:p>
    <w:p>
      <w:pPr>
        <w:keepNext/>
        <w:widowControl w:val="false"/>
        <w:spacing w:beforeAutospacing="true" w:afterAutospacing="true"/>
        <w:rPr>
          <w:rFonts w:cs="Arial"/>
          <w:szCs w:val="26"/>
        </w:rPr>
      </w:pPr>
      <w:r>
        <w:rPr>
          <w:rFonts w:cs="Arial"/>
        </w:rPr>
        <w:t xml:space="preserve">Not Applicable</w:t>
      </w:r>
    </w:p>
    <w:p>
      <w:pPr>
        <w:keepNext/>
        <w:widowControl w:val="false"/>
        <w:spacing w:line="204" w:lineRule="auto"/>
        <w:rPr>
          <w:b/>
          <w:sz w:val="24"/>
          <w:szCs w:val="24"/>
        </w:rPr>
      </w:pPr>
      <w:r>
        <w:rPr>
          <w:b/>
          <w:sz w:val="24"/>
          <w:szCs w:val="24"/>
        </w:rPr>
        <w:t>Discussion</w:t>
      </w:r>
    </w:p>
    <w:p>
      <w:pPr>
        <w:keepNext/>
        <w:widowControl w:val="false"/>
        <w:spacing w:beforeAutospacing="true" w:afterAutospacing="true"/>
        <w:rPr>
          <w:b/>
          <w:sz w:val="24"/>
          <w:szCs w:val="24"/>
        </w:rPr>
      </w:pPr>
      <w:r>
        <w:rPr>
          <w:rFonts w:cs="Arial"/>
        </w:rPr>
        <w:t xml:space="preserve">Not Applicable</w:t>
      </w:r>
    </w:p>
    <w:p>
      <w:pPr>
        <w:pStyle w:val="Heading2"/>
        <w:pageBreakBefore/>
        <w:widowControl w:val="false"/>
        <w:rPr>
          <w:rFonts w:ascii="Calibri" w:hAnsi="Calibri"/>
          <w:i w:val="false"/>
        </w:rPr>
      </w:pPr>
      <w:r>
        <w:rPr>
          <w:rFonts w:ascii="Calibri" w:hAnsi="Calibri"/>
          <w:i w:val="false"/>
        </w:rPr>
        <w:t>AP-65 Homeless and Other Special Needs Activities – 91.220(i)</w:t>
      </w:r>
    </w:p>
    <w:p>
      <w:pPr>
        <w:keepNext/>
        <w:widowControl w:val="false"/>
        <w:spacing w:line="204" w:lineRule="auto"/>
        <w:rPr>
          <w:b/>
          <w:sz w:val="24"/>
          <w:szCs w:val="24"/>
        </w:rPr>
      </w:pPr>
      <w:r>
        <w:rPr>
          <w:b/>
          <w:sz w:val="24"/>
          <w:szCs w:val="24"/>
        </w:rPr>
        <w:t>Introduction</w:t>
      </w:r>
    </w:p>
    <w:p>
      <w:pPr>
        <w:keepNext/>
        <w:widowControl w:val="false"/>
        <w:spacing w:beforeAutospacing="true" w:afterAutospacing="true"/>
        <w:rPr>
          <w:b/>
          <w:sz w:val="24"/>
          <w:szCs w:val="24"/>
        </w:rPr>
      </w:pPr>
      <w:r>
        <w:rPr>
          <w:rFonts w:cs="Arial"/>
        </w:rPr>
        <w:t xml:space="preserve">The City identified unmet needs for homeless and special needs population during the preparation of the 2020-2024 Consolidated Plan.  The City would select projects for CDBG and HOME funding that benefit the homeless population. However, the City has not received any qualified application that provide direct benefit to the homeless population.  Moreover, the City if not a recipient of homeless related funds. Finally, the City takes every opportunity to collaborate with other local agencies to address any homeless related issues. </w:t>
      </w:r>
    </w:p>
    <w:p>
      <w:pPr>
        <w:keepNext/>
        <w:widowControl w:val="false"/>
        <w:rPr>
          <w:b/>
          <w:sz w:val="24"/>
          <w:szCs w:val="24"/>
        </w:rPr>
      </w:pPr>
      <w:r>
        <w:rPr>
          <w:b/>
          <w:sz w:val="24"/>
          <w:szCs w:val="24"/>
        </w:rPr>
        <w:t>Describe the jurisdictions one-year goals and actions for reducing and ending homelessness including</w:t>
      </w:r>
    </w:p>
    <w:p>
      <w:pPr>
        <w:keepNext/>
        <w:widowControl w:val="false"/>
        <w:rPr>
          <w:b/>
          <w:sz w:val="24"/>
          <w:szCs w:val="24"/>
        </w:rPr>
      </w:pPr>
      <w:r>
        <w:rPr>
          <w:b/>
          <w:sz w:val="24"/>
          <w:szCs w:val="24"/>
        </w:rPr>
        <w:t>Reaching out to homeless persons (especially unsheltered persons) and assessing their individual needs</w:t>
      </w:r>
    </w:p>
    <w:p>
      <w:pPr>
        <w:keepNext/>
        <w:widowControl w:val="false"/>
        <w:spacing w:beforeAutospacing="true" w:afterAutospacing="true"/>
        <w:rPr>
          <w:rFonts w:cs="Arial"/>
        </w:rPr>
      </w:pPr>
      <w:r>
        <w:rPr>
          <w:rFonts w:cs="Arial"/>
        </w:rPr>
        <w:t xml:space="preserve">While the City does not receive Emergency Solutions Grant (ESG) funds, the City supports the County of Orange Continuum of Care strategies to address homelessness.  Moreover, the City gives priority and allocates CDBG funds to projects benefiting the homeless population whenever it receives applications for CDBG funds. </w:t>
      </w:r>
    </w:p>
    <w:p>
      <w:pPr>
        <w:keepNext/>
        <w:widowControl w:val="false"/>
        <w:rPr>
          <w:b/>
          <w:sz w:val="24"/>
          <w:szCs w:val="24"/>
        </w:rPr>
      </w:pPr>
      <w:r>
        <w:rPr>
          <w:b/>
          <w:sz w:val="24"/>
          <w:szCs w:val="24"/>
        </w:rPr>
        <w:t>Addressing the emergency shelter and transitional housing needs of homeless persons</w:t>
      </w:r>
    </w:p>
    <w:p>
      <w:pPr>
        <w:keepNext/>
        <w:widowControl w:val="false"/>
        <w:spacing w:beforeAutospacing="true" w:afterAutospacing="true"/>
        <w:rPr>
          <w:rFonts w:cs="Arial"/>
        </w:rPr>
      </w:pPr>
      <w:r>
        <w:rPr>
          <w:rFonts w:cs="Arial"/>
        </w:rPr>
        <w:t xml:space="preserve">The City continues to support projects related to homelessness by allocating CDBG funds to these projects. </w:t>
      </w:r>
    </w:p>
    <w:p>
      <w:pPr>
        <w:keepNext/>
        <w:widowControl w:val="false"/>
        <w:rPr>
          <w:b/>
          <w:sz w:val="24"/>
          <w:szCs w:val="24"/>
        </w:rPr>
      </w:pPr>
      <w:r>
        <w:rPr>
          <w:b/>
          <w:sz w:val="24"/>
          <w:szCs w:val="24"/>
        </w:rPr>
        <w:t>Helping homeless persons (especially chronically homeless individuals and families, families with children, veterans and their families, and unaccompanied youth) make the transition to permanent housing and independent living, including shortening the period of time that individuals and families experience homelessness, facilitating access for homeless individuals and families to affordable housing units, and preventing individuals and families who were recently homeless from becoming homeless again</w:t>
      </w:r>
    </w:p>
    <w:p>
      <w:pPr>
        <w:keepNext/>
        <w:widowControl w:val="false"/>
        <w:spacing w:beforeAutospacing="true" w:afterAutospacing="true"/>
        <w:rPr>
          <w:rFonts w:cs="Arial"/>
        </w:rPr>
      </w:pPr>
      <w:r>
        <w:rPr>
          <w:rFonts w:cs="Arial"/>
        </w:rPr>
        <w:t xml:space="preserve">The City collaborates with the Orange County Housing Authority to provide Section 8 rental assistance to homeless families.  The City is also working on its Regional Housing Needs Assessment (RHNA) allocations mandate by supporting projects that create permanent housing for the homeless population (extremely low and very low income).</w:t>
      </w:r>
    </w:p>
    <w:p>
      <w:pPr>
        <w:keepNext/>
        <w:widowControl w:val="false"/>
        <w:spacing w:beforeAutospacing="true" w:afterAutospacing="true"/>
        <w:rPr>
          <w:rFonts w:cs="Arial"/>
        </w:rPr>
      </w:pPr>
      <w:r>
        <w:rPr>
          <w:rFonts w:cs="Arial"/>
        </w:rPr>
        <w:t xml:space="preserve">The City supports OCHA’s applications for Continuum of Care Program Permanent Supportive Housing Program projects.  Currently, 39 households are residing in Orange with certificates for this program.</w:t>
      </w:r>
    </w:p>
    <w:p>
      <w:pPr>
        <w:keepNext/>
        <w:widowControl w:val="false"/>
        <w:spacing w:beforeAutospacing="true" w:afterAutospacing="true"/>
        <w:rPr>
          <w:rFonts w:cs="Arial"/>
        </w:rPr>
      </w:pPr>
      <w:r>
        <w:rPr>
          <w:rFonts w:cs="Arial"/>
        </w:rPr>
        <w:t xml:space="preserve">The City also supports OCHA's applications for the Housing and Urban Development-Veterans Affairs Supportive Housing (HUD-VASH) Program vouchers, which combines rental assistance with case management and clinical services for homeless veterans.  The VA Medical Center in Long Beach screens and selects veterans for participation in the Program, and refers qualified veterans to OCHA, which administers the housing component of the Program.  Currently, 31 Orange households are participating in the HUD-VASH Program.</w:t>
      </w:r>
    </w:p>
    <w:p>
      <w:pPr>
        <w:keepNext/>
        <w:widowControl w:val="false"/>
        <w:rPr>
          <w:b/>
          <w:sz w:val="24"/>
          <w:szCs w:val="24"/>
        </w:rPr>
      </w:pPr>
      <w:r>
        <w:rPr>
          <w:b/>
          <w:sz w:val="24"/>
          <w:szCs w:val="24"/>
        </w:rPr>
        <w:t>Helping low-income individuals and families avoid becoming homeless, especially extremely low-income individuals and families and those who are: being discharged from publicly funded institutions and systems of care (such as health care facilities, mental health facilities, foster care and other youth facilities, and corrections programs and institutions); or, receiving assistance from public or private agencies that address housing, health, social services, employment, education, or youth needs.</w:t>
      </w:r>
    </w:p>
    <w:p>
      <w:pPr>
        <w:keepNext/>
        <w:widowControl w:val="false"/>
        <w:spacing w:beforeAutospacing="true" w:afterAutospacing="true"/>
        <w:rPr>
          <w:rFonts w:cs="Arial"/>
          <w:szCs w:val="26"/>
        </w:rPr>
      </w:pPr>
      <w:r>
        <w:rPr>
          <w:rFonts w:cs="Arial"/>
        </w:rPr>
        <w:t xml:space="preserve">The City supports OCHA’s applications for the Rental Assistance for Non-Elderly Persons with Disabilities (NED) Program, which provides incremental Section 8 vouchers.  The goal of the Program is to enable Non-Elderly, Disabled households to transition from health care institutions or skilled nursing care to independent living with appropriate services.  As of April 22, 2019, one Orange households were participating in this Program.</w:t>
      </w:r>
    </w:p>
    <w:p>
      <w:pPr>
        <w:keepNext/>
        <w:widowControl w:val="false"/>
        <w:spacing w:beforeAutospacing="true" w:afterAutospacing="true"/>
        <w:rPr>
          <w:rFonts w:cs="Arial"/>
          <w:szCs w:val="26"/>
        </w:rPr>
      </w:pPr>
      <w:r>
        <w:rPr>
          <w:rFonts w:cs="Arial"/>
        </w:rPr>
        <w:t xml:space="preserve">The City also supports OCHA’s applications for the Family Unification Program (FUP), which provides Section 8 Rental Assistance to eligible families whose lack of adequate housing is a primary factor in the separation or threat of imminent separation of children from their families.  The Program also provides vouchers for up to 18 months to emancipated youth (18 to 21 year old children that left foster care at age 16 or older and lack adequate housing).  The Orange County Social Services Agency refers potential FUP participants to OCHA, which administers the housing component of the Program.  As of April 22, 2019, 15 Orange households were FUP participants.</w:t>
      </w:r>
    </w:p>
    <w:p>
      <w:pPr>
        <w:keepNext/>
        <w:widowControl w:val="false"/>
        <w:spacing w:line="204" w:lineRule="auto"/>
        <w:rPr>
          <w:b/>
          <w:sz w:val="24"/>
          <w:szCs w:val="24"/>
        </w:rPr>
      </w:pPr>
      <w:r>
        <w:rPr>
          <w:b/>
          <w:sz w:val="24"/>
          <w:szCs w:val="24"/>
        </w:rPr>
        <w:t>Discussion</w:t>
      </w:r>
    </w:p>
    <w:p>
      <w:pPr>
        <w:keepNext/>
        <w:widowControl w:val="false"/>
        <w:spacing w:beforeAutospacing="true" w:afterAutospacing="true"/>
        <w:rPr>
          <w:b/>
          <w:sz w:val="24"/>
          <w:szCs w:val="24"/>
        </w:rPr>
      </w:pPr>
      <w:r>
        <w:rPr>
          <w:rFonts w:cs="Arial"/>
        </w:rPr>
        <w:t xml:space="preserve">The City supports nonprofit applications for Continuum of Care funds to provide services and housing to the homeless.  The City also seeks to provide CDBG funds to nonprofit agencies that serve the homeless.  The Orange Police Department has a Homeless Engagement Assistance and Resource Team (HEART) to reach out to the homeless and connect them with the services.  Officers work with the Orange County Mental Health Department and the Centralized Assessment Team to address homeless issues and find long term solutions.</w:t>
      </w:r>
    </w:p>
    <w:p>
      <w:pPr>
        <w:keepNext/>
        <w:widowControl w:val="false"/>
        <w:spacing w:after="0" w:line="240" w:lineRule="auto"/>
        <w:jc w:val="center"/>
        <w:rPr>
          <w:rFonts w:cs="Arial"/>
        </w:rPr>
      </w:pPr>
    </w:p>
    <w:p>
      <w:pPr>
        <w:pStyle w:val="Heading2"/>
        <w:pageBreakBefore/>
        <w:widowControl w:val="false"/>
        <w:rPr>
          <w:rFonts w:ascii="Calibri" w:hAnsi="Calibri"/>
          <w:i w:val="false"/>
        </w:rPr>
      </w:pPr>
      <w:r>
        <w:rPr>
          <w:rFonts w:ascii="Calibri" w:hAnsi="Calibri"/>
          <w:i w:val="false"/>
        </w:rPr>
        <w:t>AP-75 Barriers to affordable housing – 91.220(j)</w:t>
      </w:r>
    </w:p>
    <w:p>
      <w:pPr>
        <w:keepNext/>
        <w:widowControl w:val="false"/>
        <w:spacing w:line="204" w:lineRule="auto"/>
        <w:rPr>
          <w:b/>
          <w:sz w:val="24"/>
          <w:szCs w:val="24"/>
        </w:rPr>
      </w:pPr>
      <w:r>
        <w:rPr>
          <w:b/>
          <w:sz w:val="24"/>
          <w:szCs w:val="24"/>
        </w:rPr>
        <w:t xml:space="preserve">Introduction: </w:t>
      </w:r>
    </w:p>
    <w:p>
      <w:pPr>
        <w:keepNext/>
        <w:widowControl w:val="false"/>
        <w:spacing w:beforeAutospacing="true" w:afterAutospacing="true"/>
        <w:rPr>
          <w:b/>
          <w:sz w:val="24"/>
          <w:szCs w:val="24"/>
        </w:rPr>
      </w:pPr>
      <w:r>
        <w:rPr>
          <w:rFonts w:cs="Arial"/>
        </w:rPr>
        <w:t xml:space="preserve">The City has limited vacant land for residential development. Considering the high cost of land, it is challenging to develop affordable housing projects that are financially feasible. Furthermore, the City’s historic downtown area has its own zoning regulations and requirements that provide further barriers to development of affordable housing projects. While the City recognizes the importance of providing affordable housing to low and moderate income residents, the City allocates HOME funds and local funds to affordable housing projects to the extent possible.</w:t>
      </w:r>
    </w:p>
    <w:p>
      <w:pPr>
        <w:keepNext/>
        <w:widowControl w:val="false"/>
        <w:rPr>
          <w:b/>
          <w:sz w:val="24"/>
          <w:szCs w:val="24"/>
        </w:rPr>
      </w:pPr>
      <w:r>
        <w:rPr>
          <w:b/>
          <w:sz w:val="24"/>
          <w:szCs w:val="24"/>
        </w:rPr>
        <w:t>Actions it planned to remove or ameliorate the negative effects of public policies that serve as barriers to affordable housing such as land use controls, tax policies affecting land, zoning ordinances, building codes, fees and charges, growth limitations, and policies affecting the return on residential investment</w:t>
      </w:r>
    </w:p>
    <w:p>
      <w:pPr>
        <w:keepNext/>
        <w:widowControl w:val="false"/>
        <w:spacing w:beforeAutospacing="true" w:afterAutospacing="true"/>
        <w:rPr>
          <w:rFonts w:cs="Arial"/>
        </w:rPr>
      </w:pPr>
      <w:r>
        <w:rPr>
          <w:rFonts w:cs="Arial"/>
        </w:rPr>
        <w:t xml:space="preserve">The City grants regulatory incentives and concessions to housing developers through its discretionary process.  Concessions such as increased density (density bonus ordinance) may be granted for a project when the project includes a certain number of long-term affordable housing units.</w:t>
      </w:r>
    </w:p>
    <w:p>
      <w:pPr>
        <w:keepNext/>
        <w:widowControl w:val="false"/>
        <w:spacing w:line="204" w:lineRule="auto"/>
        <w:rPr>
          <w:b/>
          <w:sz w:val="24"/>
          <w:szCs w:val="24"/>
        </w:rPr>
      </w:pPr>
      <w:r>
        <w:rPr>
          <w:b/>
          <w:sz w:val="24"/>
          <w:szCs w:val="24"/>
        </w:rPr>
        <w:t xml:space="preserve">Discussion: </w:t>
      </w:r>
    </w:p>
    <w:p>
      <w:pPr>
        <w:keepNext/>
        <w:widowControl w:val="false"/>
        <w:spacing w:beforeAutospacing="true" w:afterAutospacing="true"/>
        <w:rPr>
          <w:b/>
          <w:sz w:val="24"/>
          <w:szCs w:val="24"/>
        </w:rPr>
      </w:pPr>
      <w:r>
        <w:rPr>
          <w:rFonts w:cs="Arial"/>
        </w:rPr>
        <w:t xml:space="preserve">See the previous portions of this section for discussion. </w:t>
      </w:r>
    </w:p>
    <w:p>
      <w:pPr>
        <w:pStyle w:val="Heading2"/>
        <w:pageBreakBefore/>
        <w:widowControl w:val="false"/>
        <w:rPr>
          <w:rFonts w:ascii="Calibri" w:hAnsi="Calibri"/>
          <w:i w:val="false"/>
        </w:rPr>
      </w:pPr>
      <w:r>
        <w:rPr>
          <w:rFonts w:ascii="Calibri" w:hAnsi="Calibri"/>
          <w:i w:val="false"/>
        </w:rPr>
        <w:t>AP-85 Other Actions – 91.220(k)</w:t>
      </w:r>
    </w:p>
    <w:p>
      <w:pPr>
        <w:keepNext/>
        <w:widowControl w:val="false"/>
        <w:spacing w:line="204" w:lineRule="auto"/>
        <w:rPr>
          <w:b/>
          <w:sz w:val="24"/>
          <w:szCs w:val="24"/>
        </w:rPr>
      </w:pPr>
      <w:r>
        <w:rPr>
          <w:b/>
          <w:sz w:val="24"/>
          <w:szCs w:val="24"/>
        </w:rPr>
        <w:t xml:space="preserve">Introduction: </w:t>
      </w:r>
    </w:p>
    <w:p>
      <w:pPr>
        <w:keepNext/>
        <w:widowControl w:val="false"/>
        <w:spacing w:beforeAutospacing="true" w:afterAutospacing="true"/>
        <w:rPr>
          <w:b/>
          <w:sz w:val="24"/>
          <w:szCs w:val="24"/>
        </w:rPr>
      </w:pPr>
      <w:r>
        <w:rPr>
          <w:rFonts w:cs="Arial"/>
        </w:rPr>
        <w:t xml:space="preserve">The City of Orange will undertake a variety of activities aimed at addressing the needs of the low and moderate income households.  The City allocated CDBG funds to the Fair Housing Foundation to carryout fair housing activities, resolve any issues regarding fair housing, and hold workshops for tenants and landlords. Additionally, the City is preparing land use planning documents and ordinances using State SB 2 funds to streamline entitlement processes and promote affordable housing development projects. Finally, the City is preparing its Housing Element and will identify parcels suitable for housing development opportunities as well as developing policies and programs to encourage the development of affordable housing units for extremely low and low income households.</w:t>
      </w:r>
    </w:p>
    <w:p>
      <w:pPr>
        <w:keepNext/>
        <w:widowControl w:val="false"/>
        <w:rPr>
          <w:b/>
          <w:sz w:val="24"/>
          <w:szCs w:val="24"/>
        </w:rPr>
      </w:pPr>
      <w:r>
        <w:rPr>
          <w:b/>
          <w:sz w:val="24"/>
          <w:szCs w:val="24"/>
        </w:rPr>
        <w:t>Actions planned to address obstacles to meeting underserved needs</w:t>
      </w:r>
    </w:p>
    <w:p>
      <w:pPr>
        <w:keepNext/>
        <w:widowControl w:val="false"/>
        <w:spacing w:beforeAutospacing="true" w:afterAutospacing="true"/>
        <w:rPr>
          <w:rFonts w:cs="Arial"/>
        </w:rPr>
      </w:pPr>
      <w:r>
        <w:rPr>
          <w:rFonts w:cs="Arial"/>
        </w:rPr>
        <w:t xml:space="preserve">The City supports services and projects aimed at addressing homelessness, social services, and housing affordability.  The City collaborates with Orange County Housing Authority to provide Section 8 rental assistance to low income families.  Furthermore, the City allocates CDBG funds to public services projects benefitting low and moderate income households.  The allocation of CDBG and HOME funds is based on the high priority unmet needs that were discovered during the needs assessment process of the 2020-2024 Consolidated Plan.</w:t>
      </w:r>
    </w:p>
    <w:p>
      <w:pPr>
        <w:keepNext/>
        <w:widowControl w:val="false"/>
        <w:rPr>
          <w:b/>
          <w:sz w:val="24"/>
          <w:szCs w:val="24"/>
        </w:rPr>
      </w:pPr>
      <w:r>
        <w:rPr>
          <w:b/>
          <w:sz w:val="24"/>
          <w:szCs w:val="24"/>
        </w:rPr>
        <w:t>Actions planned to foster and maintain affordable housing</w:t>
      </w:r>
    </w:p>
    <w:p>
      <w:pPr>
        <w:keepNext/>
        <w:widowControl w:val="false"/>
        <w:spacing w:beforeAutospacing="true" w:afterAutospacing="true"/>
        <w:rPr>
          <w:rFonts w:cs="Arial"/>
        </w:rPr>
      </w:pPr>
      <w:r>
        <w:rPr>
          <w:rFonts w:cs="Arial"/>
        </w:rPr>
        <w:t xml:space="preserve">The City has instituted a long term affordability period of 55 years for most of the affordable housing projects. A large number of affordable housing projects are affordable in perpetuity because of the City’s Density Bonus Ordinance. The City continually supports the preservation and development of affordable housing to maintain and increase affordable housing supply.</w:t>
      </w:r>
    </w:p>
    <w:p>
      <w:pPr>
        <w:keepNext/>
        <w:widowControl w:val="false"/>
        <w:rPr>
          <w:b/>
          <w:sz w:val="24"/>
          <w:szCs w:val="24"/>
        </w:rPr>
      </w:pPr>
      <w:r>
        <w:rPr>
          <w:b/>
          <w:sz w:val="24"/>
          <w:szCs w:val="24"/>
        </w:rPr>
        <w:t>Actions planned to reduce lead-based paint hazards</w:t>
      </w:r>
    </w:p>
    <w:p>
      <w:pPr>
        <w:keepNext/>
        <w:widowControl w:val="false"/>
        <w:spacing w:beforeAutospacing="true" w:afterAutospacing="true"/>
        <w:rPr>
          <w:rFonts w:cs="Arial"/>
        </w:rPr>
      </w:pPr>
      <w:r>
        <w:rPr>
          <w:rFonts w:cs="Arial"/>
        </w:rPr>
        <w:t xml:space="preserve">Given the limited CDBG funds, the City does not directly fund lead-based paint evaluation and reduction.   The City supports the County of Orange efforts to reduce lead-based paint hazards in the City.  If funding is available in the future, the City and the County plan to intensify their efforts to reduce the risk of lead poisoning for young, low income children that reside in El Modena, a lower income neighborhood.  </w:t>
      </w:r>
    </w:p>
    <w:p>
      <w:pPr>
        <w:keepNext/>
        <w:widowControl w:val="false"/>
        <w:rPr>
          <w:b/>
          <w:sz w:val="24"/>
          <w:szCs w:val="24"/>
        </w:rPr>
      </w:pPr>
      <w:r>
        <w:rPr>
          <w:b/>
          <w:sz w:val="24"/>
          <w:szCs w:val="24"/>
        </w:rPr>
        <w:t>Actions planned to reduce the number of poverty-level families</w:t>
      </w:r>
    </w:p>
    <w:p>
      <w:pPr>
        <w:keepNext/>
        <w:widowControl w:val="false"/>
        <w:spacing w:beforeAutospacing="true" w:afterAutospacing="true"/>
        <w:rPr>
          <w:rFonts w:cs="Arial"/>
          <w:szCs w:val="26"/>
        </w:rPr>
      </w:pPr>
      <w:r>
        <w:rPr>
          <w:rFonts w:cs="Arial"/>
        </w:rPr>
        <w:t xml:space="preserve">Per Section 3 HUD Act of 1968, the City will encourage jobs generated through CDBG funded construction projects be advertised to low income residents where the construction project is located.  Moreover, the City collaborates with Orange County Housing Authority (OCHA) to provide Section 8 Rental Assistance/Housing Choice Voucher Program for low income residents.  The Family Self-Sufficiency (FSS), that is part of the Section 8 program, uses a step-by-step process that helps Section 8 participants identify and reach career goals, overcome impediments to success, locate needed resources and support services, and develop confidence. FSS advisors provide guidance and referrals to participants for services including child-care, job training and placement, education, transportation, and medical assistance.  Finally, the City supports applications for CDBG funds for job training and placement for youth and adults. </w:t>
      </w:r>
    </w:p>
    <w:p>
      <w:pPr>
        <w:keepNext/>
        <w:widowControl w:val="false"/>
        <w:rPr>
          <w:b/>
          <w:sz w:val="24"/>
          <w:szCs w:val="24"/>
        </w:rPr>
      </w:pPr>
      <w:r>
        <w:rPr>
          <w:b/>
          <w:sz w:val="24"/>
          <w:szCs w:val="24"/>
        </w:rPr>
        <w:t xml:space="preserve">Actions planned to develop institutional structure </w:t>
      </w:r>
    </w:p>
    <w:p>
      <w:pPr>
        <w:keepNext/>
        <w:widowControl w:val="false"/>
        <w:spacing w:beforeAutospacing="true" w:afterAutospacing="true"/>
        <w:rPr>
          <w:rFonts w:cs="Arial"/>
        </w:rPr>
      </w:pPr>
      <w:r>
        <w:rPr>
          <w:rFonts w:cs="Arial"/>
        </w:rPr>
        <w:t xml:space="preserve">The City’s Community Development Department includes the following Divisions: Building, Code Enforcement, Planning, and Housing.  This enables the City to effectively coordinate its housing activities.  The Planning Division performs functions that directly affect the development and rehabilitation of housing including preparation of the State-mandated Housing Element.  The Planning Division also oversees the permit process, regulates development and conducts compliance with zoning and building codes, and administers the Density Bonus Program.</w:t>
      </w:r>
    </w:p>
    <w:p>
      <w:pPr>
        <w:keepNext/>
        <w:widowControl w:val="false"/>
        <w:spacing w:beforeAutospacing="true" w:afterAutospacing="true"/>
        <w:rPr>
          <w:rFonts w:cs="Arial"/>
        </w:rPr>
      </w:pPr>
      <w:r>
        <w:rPr>
          <w:rFonts w:cs="Arial"/>
        </w:rPr>
        <w:t xml:space="preserve">The Housing Division administers the CDBG and HOME programs and is responsible for updating the Consolidated Plan every five years, preparing Annual Action Plans, and the Consolidated Annual Performance and Evaluation Report (CAPER).  This Division works with various City departments that carry out CDBG-funded projects.</w:t>
      </w:r>
    </w:p>
    <w:p>
      <w:pPr>
        <w:keepNext/>
        <w:widowControl w:val="false"/>
        <w:spacing w:beforeAutospacing="true" w:afterAutospacing="true"/>
        <w:rPr>
          <w:rFonts w:cs="Arial"/>
        </w:rPr>
      </w:pPr>
      <w:r>
        <w:rPr>
          <w:rFonts w:cs="Arial"/>
        </w:rPr>
        <w:t xml:space="preserve">The City also works with Orange Housing Development Corporation (OHDC) and other developers to develop or rehab affordable housing projects. OHDC has provided attractive, affordable housing for low and moderate income households. The City encourages nonprofit agencies to apply for CDBG funds for programs that primarily benefit low and moderate income residents.</w:t>
      </w:r>
    </w:p>
    <w:p>
      <w:pPr>
        <w:keepNext/>
        <w:widowControl w:val="false"/>
        <w:rPr>
          <w:b/>
          <w:sz w:val="24"/>
          <w:szCs w:val="24"/>
        </w:rPr>
      </w:pPr>
      <w:r>
        <w:rPr>
          <w:b/>
          <w:sz w:val="24"/>
          <w:szCs w:val="24"/>
        </w:rPr>
        <w:t>Actions planned to enhance coordination between public and private housing and social service agencies</w:t>
      </w:r>
    </w:p>
    <w:p>
      <w:pPr>
        <w:keepNext/>
        <w:widowControl w:val="false"/>
        <w:spacing w:beforeAutospacing="true" w:afterAutospacing="true"/>
        <w:rPr>
          <w:rFonts w:cs="Arial"/>
          <w:szCs w:val="26"/>
        </w:rPr>
      </w:pPr>
      <w:r>
        <w:rPr>
          <w:rFonts w:cs="Arial"/>
        </w:rPr>
        <w:t xml:space="preserve">The City will continue to work with public and private agencies to coordinate the delivery of housing and related services.  City staff sits on the Orange County Housing Authority Advisory Committee to provide input on housing issues that affect the community.  Moreover, a City Council member sits on the Housing and Community Development Commission representing the 3</w:t>
      </w:r>
      <w:r>
        <w:rPr>
          <w:rFonts w:cs="Arial"/>
        </w:rPr>
        <w:t xml:space="preserve">rd</w:t>
      </w:r>
      <w:r>
        <w:rPr>
          <w:rFonts w:cs="Arial"/>
        </w:rPr>
        <w:t xml:space="preserve"> District County Supervisor Board. The City also maintains close relationship with nonprofit organizations that provide social services to the community.</w:t>
      </w:r>
    </w:p>
    <w:p>
      <w:pPr>
        <w:keepNext/>
        <w:widowControl w:val="false"/>
        <w:spacing w:line="204" w:lineRule="auto"/>
        <w:rPr>
          <w:b/>
          <w:sz w:val="24"/>
          <w:szCs w:val="24"/>
        </w:rPr>
      </w:pPr>
      <w:r>
        <w:rPr>
          <w:b/>
          <w:sz w:val="24"/>
          <w:szCs w:val="24"/>
        </w:rPr>
        <w:t xml:space="preserve">Discussion: </w:t>
      </w:r>
    </w:p>
    <w:p>
      <w:pPr>
        <w:keepNext/>
        <w:widowControl w:val="false"/>
        <w:spacing w:beforeAutospacing="true" w:afterAutospacing="true"/>
        <w:rPr>
          <w:b/>
          <w:sz w:val="24"/>
          <w:szCs w:val="24"/>
        </w:rPr>
      </w:pPr>
      <w:r>
        <w:rPr>
          <w:rFonts w:cs="Arial"/>
        </w:rPr>
        <w:t xml:space="preserve">See the previous sections for discussion.</w:t>
      </w:r>
    </w:p>
    <w:p>
      <w:pPr>
        <w:pStyle w:val="Heading1"/>
        <w:pageBreakBefore/>
        <w:jc w:val="center"/>
        <w:rPr>
          <w:rFonts w:ascii="Calibri" w:hAnsi="Calibri"/>
          <w:color w:val="auto"/>
          <w:sz w:val="32"/>
          <w:szCs w:val="32"/>
        </w:rPr>
      </w:pPr>
      <w:r>
        <w:rPr>
          <w:rFonts w:ascii="Calibri" w:hAnsi="Calibri"/>
          <w:color w:val="auto"/>
          <w:sz w:val="32"/>
          <w:szCs w:val="32"/>
        </w:rPr>
        <w:t>Program Specific Requirements</w:t>
      </w:r>
    </w:p>
    <w:p>
      <w:pPr>
        <w:rPr>
          <w:b/>
          <w:sz w:val="28"/>
          <w:szCs w:val="28"/>
        </w:rPr>
      </w:pPr>
      <w:r>
        <w:rPr>
          <w:b/>
          <w:sz w:val="28"/>
          <w:szCs w:val="28"/>
        </w:rPr>
        <w:t>AP-90 Program Specific Requirements – 91.220(l)(1,2,4)</w:t>
      </w:r>
    </w:p>
    <w:p>
      <w:pPr>
        <w:keepNext/>
        <w:widowControl w:val="false"/>
        <w:spacing w:line="204" w:lineRule="auto"/>
        <w:rPr>
          <w:b/>
          <w:sz w:val="24"/>
          <w:szCs w:val="24"/>
        </w:rPr>
      </w:pPr>
      <w:r>
        <w:rPr>
          <w:b/>
          <w:sz w:val="24"/>
          <w:szCs w:val="24"/>
        </w:rPr>
        <w:t xml:space="preserve">Introduction: </w:t>
      </w:r>
    </w:p>
    <w:p>
      <w:pPr>
        <w:keepNext/>
        <w:widowControl w:val="false"/>
        <w:spacing w:beforeAutospacing="true" w:afterAutospacing="true"/>
        <w:rPr>
          <w:b/>
          <w:sz w:val="24"/>
          <w:szCs w:val="24"/>
        </w:rPr>
      </w:pPr>
      <w:r>
        <w:rPr>
          <w:rFonts w:cs="Arial"/>
        </w:rPr>
        <w:t xml:space="preserve">The City targets all of its CDBG funds to activities that benefit persons of low and moderate Income, and calculates minimum overall benefit on an annual basis.  The City of Orange meets the minimum overall benefit for FY 2020-2021, which is the period covered by the Action Plan.</w:t>
      </w:r>
    </w:p>
    <w:p>
      <w:pPr>
        <w:keepNext/>
        <w:widowControl w:val="false"/>
        <w:spacing w:beforeAutospacing="true" w:afterAutospacing="true"/>
        <w:rPr>
          <w:b/>
          <w:sz w:val="24"/>
          <w:szCs w:val="24"/>
        </w:rPr>
      </w:pPr>
      <w:r>
        <w:rPr>
          <w:rFonts w:cs="Arial"/>
        </w:rPr>
        <w:t xml:space="preserve">The City does not use its HOME funds for homebuyer activities or to refinance existing debt on multifamily housing projects.</w:t>
      </w:r>
    </w:p>
    <w:p>
      <w:pPr>
        <w:keepNext/>
        <w:widowControl w:val="false"/>
        <w:spacing w:beforeAutospacing="true" w:afterAutospacing="true"/>
        <w:rPr>
          <w:b/>
          <w:sz w:val="24"/>
          <w:szCs w:val="24"/>
        </w:rPr>
      </w:pPr>
      <w:r>
        <w:rPr>
          <w:rFonts w:cs="Arial"/>
        </w:rPr>
        <w:t xml:space="preserve">For the FY2020-21, HUD made corrections to the funding levels for CDBG and HOME programs.  These corrections were $183 decrease in CDBG entitlement funds adn $100 decrease in HOME entitlement funds. The City made the following adjustments to reflect the aformentioned corrections. </w:t>
      </w:r>
    </w:p>
    <w:p>
      <w:pPr>
        <w:keepNext/>
        <w:widowControl w:val="false"/>
        <w:spacing w:beforeAutospacing="true" w:afterAutospacing="true"/>
        <w:rPr>
          <w:b/>
          <w:sz w:val="24"/>
          <w:szCs w:val="24"/>
        </w:rPr>
      </w:pPr>
      <w:r>
        <w:rPr>
          <w:rFonts w:cs="Arial"/>
        </w:rPr>
        <w:t xml:space="preserve">1. Decreased the CDBG Admin allocation by $183 from $215,478 to $215,295.</w:t>
      </w:r>
    </w:p>
    <w:p>
      <w:pPr>
        <w:keepNext/>
        <w:widowControl w:val="false"/>
        <w:spacing w:beforeAutospacing="true" w:afterAutospacing="true"/>
        <w:rPr>
          <w:b/>
          <w:sz w:val="24"/>
          <w:szCs w:val="24"/>
        </w:rPr>
      </w:pPr>
      <w:r>
        <w:rPr>
          <w:rFonts w:cs="Arial"/>
        </w:rPr>
        <w:t xml:space="preserve">2. Decreased the HOME Admin allocation by $100 from $46,124 to $46,024. </w:t>
      </w:r>
    </w:p>
    <w:p>
      <w:pPr>
        <w:keepNext/>
        <w:widowControl w:val="false"/>
        <w:spacing w:after="0" w:line="240" w:lineRule="auto"/>
        <w:jc w:val="center"/>
        <w:rPr>
          <w:rFonts w:cs="Arial"/>
          <w:b/>
          <w:sz w:val="24"/>
          <w:szCs w:val="24"/>
        </w:rPr>
      </w:pPr>
      <w:r>
        <w:rPr>
          <w:rFonts w:cs="Arial"/>
          <w:b/>
          <w:sz w:val="24"/>
          <w:szCs w:val="24"/>
        </w:rPr>
        <w:t>Community Development Block Grant Program (CDBG)</w:t>
      </w:r>
      <w:r>
        <w:rPr>
          <w:i/>
        </w:rPr>
        <w:t xml:space="preserve"> </w:t>
      </w:r>
      <w:r>
        <w:rPr>
          <w:rFonts w:cs="Arial"/>
          <w:b/>
          <w:i/>
          <w:sz w:val="24"/>
          <w:szCs w:val="24"/>
        </w:rPr>
      </w:r>
    </w:p>
    <w:p>
      <w:pPr>
        <w:keepNext/>
        <w:widowControl w:val="false"/>
        <w:spacing w:after="0" w:line="240" w:lineRule="auto"/>
        <w:jc w:val="center"/>
        <w:rPr>
          <w:rFonts w:cs="Arial"/>
          <w:b/>
          <w:sz w:val="24"/>
          <w:szCs w:val="24"/>
        </w:rPr>
      </w:pPr>
      <w:r>
        <w:rPr>
          <w:rFonts w:cs="Arial"/>
          <w:b/>
          <w:sz w:val="24"/>
          <w:szCs w:val="24"/>
        </w:rPr>
        <w:t>Reference 24 CFR 91.220(l)(1)</w:t>
      </w:r>
      <w:r>
        <w:rPr>
          <w:i/>
        </w:rPr>
        <w:t xml:space="preserve"> </w:t>
      </w:r>
      <w:r>
        <w:rPr>
          <w:rFonts w:cs="Arial"/>
          <w:b/>
          <w:i/>
          <w:sz w:val="24"/>
          <w:szCs w:val="24"/>
        </w:rPr>
      </w:r>
    </w:p>
    <w:p>
      <w:pPr>
        <w:keepNext/>
        <w:widowControl w:val="false"/>
        <w:spacing w:after="0" w:line="240" w:lineRule="auto"/>
        <w:rPr>
          <w:rFonts w:cs="Arial"/>
        </w:rPr>
      </w:pPr>
      <w:r>
        <w:rPr>
          <w:rFonts w:cs="Arial"/>
        </w:rPr>
        <w:t>Projects planned with all CDBG funds expected to be available during the year are identified in the Projects Table. The following identifies program income that is available for use that is included in projects to be carried out.</w:t>
      </w:r>
      <w:r>
        <w:t xml:space="preserve"> </w:t>
      </w:r>
      <w:r>
        <w:rPr>
          <w:rFonts w:cs="Arial"/>
          <w:i/>
        </w:rPr>
      </w:r>
    </w:p>
    <w:p>
      <w:pPr>
        <w:widowControl w:val="false"/>
        <w:spacing w:after="0" w:line="240" w:lineRule="auto"/>
        <w:rPr>
          <w:rFonts w:cs="Arial"/>
        </w:rPr>
      </w:pPr>
    </w:p>
    <w:tbl>
      <w:tblPr>
        <w:tblW w:w="5000" w:type="pct"/>
        <w:tblInd w:w="115" w:type="dxa"/>
        <w:tblLook w:firstRow="1" w:lastRow="1" w:firstColumn="1" w:lastColumn="1" w:noHBand="0" w:noVBand="0" w:val="01E0"/>
      </w:tblPr>
      <w:tblGrid>
        <w:gridCol w:w="8010"/>
        <w:gridCol w:w="1566"/>
      </w:tblGrid>
      <w:tr>
        <w:tc>
          <w:tcPr>
            <w:tcW w:w="9576" w:type="dxa"/>
            <w:gridSpan w:val="2"/>
          </w:tcPr>
          <w:p>
            <w:pPr>
              <w:keepNext/>
              <w:widowControl w:val="false"/>
              <w:spacing w:after="0" w:line="240" w:lineRule="auto"/>
              <w:rPr>
                <w:rFonts w:cs="Arial"/>
              </w:rPr>
            </w:pPr>
            <w:r>
              <w:rPr>
                <w:rFonts w:cs="Arial"/>
              </w:rPr>
            </w:r>
          </w:p>
        </w:tc>
      </w:tr>
      <w:tr>
        <w:trPr>
          <w:cantSplit w:val="true"/>
        </w:trPr>
        <w:tc>
          <w:tcPr>
            <w:vAlign w:val="center"/>
          </w:tcPr>
          <w:p>
            <w:pPr>
              <w:spacing w:beforeAutospacing="true" w:afterAutospacing="true"/>
              <w:jc w:val="left"/>
            </w:pPr>
            <w:r>
              <w:rPr>
                <w:rFonts w:ascii="Calibri" w:hAnsi="Calibri"/>
                <w:color w:val="000000"/>
                <w:sz w:val="22"/>
              </w:rPr>
              <w:t xml:space="preserve">1. The total amount of program income that will have been received before the start of the next program year and that has not yet been reprogrammed</w:t>
            </w:r>
          </w:p>
        </w:tc>
        <w:tc>
          <w:tcPr>
            <w:vAlign w:val="bottom"/>
          </w:tcPr>
          <w:p>
            <w:pPr>
              <w:spacing w:beforeAutospacing="true" w:afterAutospacing="true"/>
              <w:jc w:val="right"/>
            </w:pPr>
            <w:r>
              <w:rPr>
                <w:rFonts w:ascii="Calibri" w:hAnsi="Calibri"/>
                <w:color w:val="000000"/>
                <w:sz w:val="22"/>
              </w:rPr>
              <w:t xml:space="preserve">0</w:t>
            </w:r>
          </w:p>
        </w:tc>
      </w:tr>
      <w:tr>
        <w:trPr>
          <w:cantSplit w:val="true"/>
        </w:trPr>
        <w:tc>
          <w:tcPr>
            <w:vAlign w:val="center"/>
          </w:tcPr>
          <w:p>
            <w:pPr>
              <w:spacing w:beforeAutospacing="true" w:afterAutospacing="true"/>
              <w:jc w:val="left"/>
            </w:pPr>
            <w:r>
              <w:rPr>
                <w:rFonts w:ascii="Calibri" w:hAnsi="Calibri"/>
                <w:color w:val="000000"/>
                <w:sz w:val="22"/>
              </w:rPr>
              <w:t xml:space="preserve">2. The amount of proceeds from section 108 loan guarantees that will be used during the year to address the priority needs and specific objectives identified in the grantee's strategic plan.</w:t>
            </w:r>
          </w:p>
        </w:tc>
        <w:tc>
          <w:tcPr>
            <w:vAlign w:val="bottom"/>
          </w:tcPr>
          <w:p>
            <w:pPr>
              <w:spacing w:beforeAutospacing="true" w:afterAutospacing="true"/>
              <w:jc w:val="right"/>
            </w:pPr>
            <w:r>
              <w:rPr>
                <w:rFonts w:ascii="Calibri" w:hAnsi="Calibri"/>
                <w:color w:val="000000"/>
                <w:sz w:val="22"/>
              </w:rPr>
              <w:t xml:space="preserve">0</w:t>
            </w:r>
          </w:p>
        </w:tc>
      </w:tr>
      <w:tr>
        <w:trPr>
          <w:cantSplit w:val="true"/>
        </w:trPr>
        <w:tc>
          <w:tcPr>
            <w:vAlign w:val="center"/>
          </w:tcPr>
          <w:p>
            <w:pPr>
              <w:spacing w:beforeAutospacing="true" w:afterAutospacing="true"/>
              <w:jc w:val="left"/>
            </w:pPr>
            <w:r>
              <w:rPr>
                <w:rFonts w:ascii="Calibri" w:hAnsi="Calibri"/>
                <w:color w:val="000000"/>
                <w:sz w:val="22"/>
              </w:rPr>
              <w:t xml:space="preserve">3. The amount of surplus funds from urban renewal settlements</w:t>
            </w:r>
          </w:p>
        </w:tc>
        <w:tc>
          <w:tcPr>
            <w:vAlign w:val="bottom"/>
          </w:tcPr>
          <w:p>
            <w:pPr>
              <w:spacing w:beforeAutospacing="true" w:afterAutospacing="true"/>
              <w:jc w:val="right"/>
            </w:pPr>
            <w:r>
              <w:rPr>
                <w:rFonts w:ascii="Calibri" w:hAnsi="Calibri"/>
                <w:color w:val="000000"/>
                <w:sz w:val="22"/>
              </w:rPr>
              <w:t xml:space="preserve">0</w:t>
            </w:r>
          </w:p>
        </w:tc>
      </w:tr>
      <w:tr>
        <w:trPr>
          <w:cantSplit w:val="true"/>
        </w:trPr>
        <w:tc>
          <w:tcPr>
            <w:vAlign w:val="center"/>
          </w:tcPr>
          <w:p>
            <w:pPr>
              <w:spacing w:beforeAutospacing="true" w:afterAutospacing="true"/>
              <w:jc w:val="left"/>
            </w:pPr>
            <w:r>
              <w:rPr>
                <w:rFonts w:ascii="Calibri" w:hAnsi="Calibri"/>
                <w:color w:val="000000"/>
                <w:sz w:val="22"/>
              </w:rPr>
              <w:t xml:space="preserve">4. The amount of any grant funds returned to the line of credit for which the planned use has not been included in a prior statement or plan</w:t>
            </w:r>
          </w:p>
        </w:tc>
        <w:tc>
          <w:tcPr>
            <w:vAlign w:val="bottom"/>
          </w:tcPr>
          <w:p>
            <w:pPr>
              <w:spacing w:beforeAutospacing="true" w:afterAutospacing="true"/>
              <w:jc w:val="right"/>
            </w:pPr>
            <w:r>
              <w:rPr>
                <w:rFonts w:ascii="Calibri" w:hAnsi="Calibri"/>
                <w:color w:val="000000"/>
                <w:sz w:val="22"/>
              </w:rPr>
              <w:t xml:space="preserve">0</w:t>
            </w:r>
          </w:p>
        </w:tc>
      </w:tr>
      <w:tr>
        <w:trPr>
          <w:cantSplit w:val="true"/>
        </w:trPr>
        <w:tc>
          <w:tcPr>
            <w:vAlign w:val="center"/>
          </w:tcPr>
          <w:p>
            <w:pPr>
              <w:spacing w:beforeAutospacing="true" w:afterAutospacing="true"/>
              <w:jc w:val="left"/>
            </w:pPr>
            <w:r>
              <w:rPr>
                <w:rFonts w:ascii="Calibri" w:hAnsi="Calibri"/>
                <w:color w:val="000000"/>
                <w:sz w:val="22"/>
              </w:rPr>
              <w:t xml:space="preserve">5. The amount of income from float-funded activities</w:t>
            </w:r>
          </w:p>
        </w:tc>
        <w:tc>
          <w:tcPr>
            <w:vAlign w:val="bottom"/>
          </w:tcPr>
          <w:p>
            <w:pPr>
              <w:spacing w:beforeAutospacing="true" w:afterAutospacing="true"/>
              <w:jc w:val="right"/>
            </w:pPr>
            <w:r>
              <w:rPr>
                <w:rFonts w:ascii="Calibri" w:hAnsi="Calibri"/>
                <w:color w:val="000000"/>
                <w:sz w:val="22"/>
              </w:rPr>
              <w:t xml:space="preserve">0</w:t>
            </w:r>
          </w:p>
        </w:tc>
      </w:tr>
      <w:tr>
        <w:trPr>
          <w:cantSplit w:val="true"/>
        </w:trPr>
        <w:tc>
          <w:tcPr>
            <w:vAlign w:val="center"/>
          </w:tcPr>
          <w:p>
            <w:pPr>
              <w:spacing w:beforeAutospacing="true" w:afterAutospacing="true"/>
              <w:jc w:val="left"/>
            </w:pPr>
            <w:r>
              <w:rPr>
                <w:rFonts w:ascii="Calibri" w:hAnsi="Calibri"/>
                <w:b/>
                <w:color w:val="000000"/>
                <w:sz w:val="22"/>
              </w:rPr>
              <w:t xml:space="preserve">Total Program Income:</w:t>
            </w:r>
          </w:p>
        </w:tc>
        <w:tc>
          <w:tcPr>
            <w:vAlign w:val="center"/>
          </w:tcPr>
          <w:p>
            <w:pPr>
              <w:spacing w:beforeAutospacing="true" w:afterAutospacing="true"/>
              <w:jc w:val="right"/>
            </w:pPr>
            <w:r>
              <w:rPr>
                <w:rFonts w:ascii="Calibri" w:hAnsi="Calibri"/>
                <w:b/>
                <w:color w:val="000000"/>
                <w:sz w:val="22"/>
              </w:rPr>
              <w:t xml:space="preserve">0</w:t>
            </w:r>
          </w:p>
        </w:tc>
      </w:tr>
    </w:tbl>
    <w:p>
      <w:pPr>
        <w:keepNext/>
        <w:widowControl w:val="false"/>
        <w:spacing w:after="0" w:line="240" w:lineRule="auto"/>
        <w:rPr>
          <w:rFonts w:cs="Arial"/>
        </w:rPr>
      </w:pPr>
    </w:p>
    <w:p>
      <w:pPr>
        <w:keepNext/>
        <w:widowControl w:val="false"/>
        <w:spacing w:after="0" w:line="240" w:lineRule="auto"/>
        <w:jc w:val="center"/>
        <w:rPr>
          <w:rFonts w:cs="Arial"/>
          <w:b/>
          <w:sz w:val="24"/>
          <w:szCs w:val="24"/>
        </w:rPr>
      </w:pPr>
      <w:r>
        <w:rPr>
          <w:rFonts w:cs="Arial"/>
          <w:b/>
          <w:sz w:val="24"/>
          <w:szCs w:val="24"/>
        </w:rPr>
        <w:t>Other CDBG Requirements</w:t>
      </w:r>
      <w:r>
        <w:rPr>
          <w:i/>
        </w:rPr>
        <w:t xml:space="preserve"> </w:t>
      </w:r>
      <w:r>
        <w:rPr>
          <w:rFonts w:cs="Arial"/>
          <w:b/>
          <w:i/>
          <w:sz w:val="24"/>
          <w:szCs w:val="24"/>
        </w:rPr>
      </w:r>
    </w:p>
    <w:tbl>
      <w:tblPr>
        <w:tblW w:w="5000" w:type="pct"/>
        <w:tblInd w:w="115" w:type="dxa"/>
        <w:tblLook w:firstRow="1" w:lastRow="1" w:firstColumn="1" w:lastColumn="1" w:noHBand="0" w:noVBand="0" w:val="01E0"/>
      </w:tblPr>
      <w:tblGrid>
        <w:gridCol w:w="7916"/>
        <w:gridCol w:w="1660"/>
      </w:tblGrid>
      <w:tr>
        <w:tc>
          <w:tcPr>
            <w:tcW w:w="9576" w:type="dxa"/>
            <w:gridSpan w:val="2"/>
          </w:tcPr>
          <w:p>
            <w:pPr>
              <w:keepNext/>
              <w:widowControl w:val="false"/>
              <w:spacing w:after="0" w:line="240" w:lineRule="auto"/>
              <w:rPr>
                <w:rFonts w:cs="Arial"/>
              </w:rPr>
            </w:pPr>
            <w:r>
              <w:rPr>
                <w:rFonts w:cs="Arial"/>
              </w:rPr>
            </w:r>
          </w:p>
        </w:tc>
      </w:tr>
      <w:tr>
        <w:trPr>
          <w:cantSplit w:val="true"/>
        </w:trPr>
        <w:tc>
          <w:tcPr>
            <w:vAlign w:val="top"/>
          </w:tcPr>
          <w:p>
            <w:pPr>
              <w:spacing w:beforeAutospacing="true" w:afterAutospacing="true"/>
              <w:jc w:val="left"/>
            </w:pPr>
            <w:r>
              <w:rPr>
                <w:rFonts w:ascii="Calibri" w:hAnsi="Calibri"/>
                <w:color w:val="000000"/>
                <w:sz w:val="22"/>
              </w:rPr>
              <w:t xml:space="preserve">1. The amount of urgent need activities</w:t>
            </w:r>
          </w:p>
        </w:tc>
        <w:tc>
          <w:tcPr>
            <w:vAlign w:val="bottom"/>
          </w:tcPr>
          <w:p>
            <w:pPr>
              <w:spacing w:beforeAutospacing="true" w:afterAutospacing="true"/>
              <w:jc w:val="right"/>
            </w:pPr>
            <w:r>
              <w:rPr>
                <w:rFonts w:ascii="Calibri" w:hAnsi="Calibri"/>
                <w:color w:val="000000"/>
                <w:sz w:val="22"/>
              </w:rPr>
              <w:t xml:space="preserve">0</w:t>
            </w:r>
          </w:p>
        </w:tc>
      </w:tr>
    </w:tbl>
    <w:p>
      <w:pPr>
        <w:widowControl w:val="false"/>
        <w:spacing w:after="0" w:line="240" w:lineRule="auto"/>
        <w:rPr>
          <w:rFonts w:cs="Arial"/>
          <w:vanish/>
          <w:sz w:val="4"/>
          <w:szCs w:val="4"/>
        </w:rPr>
      </w:pPr>
    </w:p>
    <w:tbl>
      <w:tblPr>
        <w:tblW w:w="4999" w:type="pct"/>
        <w:tblInd w:w="115" w:type="dxa"/>
        <w:tblLayout w:type="fixed"/>
        <w:tblCellMar>
          <w:left w:w="115" w:type="dxa"/>
          <w:right w:w="115" w:type="dxa"/>
        </w:tblCellMar>
        <w:tblLook w:firstRow="1" w:lastRow="1" w:firstColumn="1" w:lastColumn="1" w:noHBand="0" w:noVBand="0" w:val="01E0"/>
      </w:tblPr>
      <w:tblGrid>
        <w:gridCol w:w="7923"/>
        <w:gridCol w:w="1665"/>
      </w:tblGrid>
      <w:tr>
        <w:tc>
          <w:tcPr>
            <w:tcW w:w="7923" w:type="dxa"/>
          </w:tcPr>
          <w:p>
            <w:pPr>
              <w:keepNext/>
              <w:widowControl w:val="false"/>
              <w:spacing w:after="0" w:line="240" w:lineRule="auto"/>
              <w:rPr>
                <w:rFonts w:cs="Arial"/>
              </w:rPr>
            </w:pPr>
            <w:r>
              <w:rPr>
                <w:rFonts w:cs="Arial"/>
              </w:rPr>
            </w:r>
          </w:p>
        </w:tc>
        <w:tc>
          <w:tcPr>
            <w:tcW w:w="1665" w:type="dxa"/>
          </w:tcPr>
          <w:p>
            <w:pPr>
              <w:keepNext/>
              <w:widowControl w:val="false"/>
              <w:spacing w:after="0" w:line="240" w:lineRule="auto"/>
              <w:rPr>
                <w:rFonts w:cs="Arial"/>
              </w:rPr>
            </w:pPr>
          </w:p>
        </w:tc>
      </w:tr>
      <w:tr>
        <w:trPr>
          <w:cantSplit w:val="true"/>
        </w:trPr>
        <w:tc>
          <w:tcPr>
            <w:vAlign w:val="top"/>
          </w:tcPr>
          <w:p>
            <w:pPr>
              <w:spacing w:beforeAutospacing="true" w:afterAutospacing="true"/>
              <w:jc w:val="left"/>
            </w:pPr>
            <w:r>
              <w:rPr>
                <w:rFonts w:ascii="Calibri" w:hAnsi="Calibri"/>
                <w:color w:val="000000"/>
                <w:sz w:val="22"/>
              </w:rPr>
              <w:t xml:space="preserve">2. The estimated percentage of CDBG funds that will be used for activities that benefit persons of low and moderate income.Overall Benefit - A consecutive period of one, two or three years may be used to determine that a minimum overall benefit of 70% of CDBG funds is used to benefit persons of low and moderate income. Specify the years covered that include this Annual Action Plan.</w:t>
            </w:r>
          </w:p>
        </w:tc>
        <w:tc>
          <w:tcPr>
            <w:vAlign w:val="bottom"/>
          </w:tcPr>
          <w:p>
            <w:pPr>
              <w:spacing w:beforeAutospacing="true" w:afterAutospacing="true"/>
              <w:jc w:val="right"/>
            </w:pPr>
            <w:r>
              <w:rPr>
                <w:rFonts w:ascii="Calibri" w:hAnsi="Calibri"/>
                <w:color w:val="000000"/>
                <w:sz w:val="22"/>
              </w:rPr>
              <w:t xml:space="preserve">100.00%</w:t>
            </w:r>
          </w:p>
        </w:tc>
      </w:tr>
    </w:tbl>
    <w:p>
      <w:pPr>
        <w:spacing w:after="0" w:line="240" w:lineRule="auto"/>
        <w:rPr>
          <w:rFonts w:cs="Arial"/>
        </w:rPr>
      </w:pPr>
    </w:p>
    <w:p>
      <w:pPr>
        <w:spacing w:after="0" w:line="240" w:lineRule="auto"/>
        <w:rPr>
          <w:rFonts w:cs="Arial"/>
        </w:rPr>
      </w:pPr>
    </w:p>
    <w:p>
      <w:pPr>
        <w:spacing w:after="0" w:line="240" w:lineRule="auto"/>
        <w:rPr>
          <w:rFonts w:cs="Arial"/>
        </w:rPr>
      </w:pPr>
    </w:p>
    <w:p>
      <w:pPr>
        <w:keepNext/>
        <w:spacing w:after="0" w:line="240" w:lineRule="auto"/>
        <w:jc w:val="center"/>
        <w:rPr>
          <w:rFonts w:cs="Arial"/>
          <w:b/>
          <w:sz w:val="24"/>
          <w:szCs w:val="24"/>
        </w:rPr>
      </w:pPr>
      <w:r>
        <w:rPr>
          <w:rFonts w:cs="Arial"/>
          <w:b/>
          <w:sz w:val="24"/>
          <w:szCs w:val="24"/>
        </w:rPr>
        <w:t>HOME Investment Partnership Program (HOME)</w:t>
      </w:r>
      <w:r>
        <w:rPr>
          <w:i/>
        </w:rPr>
        <w:t xml:space="preserve"> </w:t>
      </w:r>
      <w:r>
        <w:rPr>
          <w:rFonts w:cs="Arial"/>
          <w:b/>
          <w:i/>
          <w:sz w:val="24"/>
          <w:szCs w:val="24"/>
        </w:rPr>
      </w:r>
    </w:p>
    <w:p>
      <w:pPr>
        <w:keepNext/>
        <w:spacing w:after="0" w:line="240" w:lineRule="auto"/>
        <w:jc w:val="center"/>
        <w:rPr>
          <w:rFonts w:cs="Arial"/>
          <w:b/>
          <w:sz w:val="24"/>
          <w:szCs w:val="24"/>
        </w:rPr>
      </w:pPr>
      <w:r>
        <w:rPr>
          <w:rFonts w:cs="Arial"/>
          <w:b/>
          <w:sz w:val="24"/>
          <w:szCs w:val="24"/>
        </w:rPr>
        <w:t>Reference 24 CFR 91.220(l)(2)</w:t>
      </w:r>
      <w:r>
        <w:rPr>
          <w:i/>
        </w:rPr>
        <w:t xml:space="preserve"> </w:t>
      </w:r>
      <w:r>
        <w:rPr>
          <w:rFonts w:cs="Arial"/>
          <w:b/>
          <w:i/>
          <w:sz w:val="24"/>
          <w:szCs w:val="24"/>
        </w:rPr>
      </w:r>
    </w:p>
    <w:p>
      <w:pPr>
        <w:keepNext/>
        <w:widowControl w:val="false"/>
        <w:numPr>
          <w:ilvl w:val="0"/>
          <w:numId w:val="13"/>
        </w:numPr>
        <w:spacing w:after="0" w:line="240" w:lineRule="auto"/>
        <w:rPr>
          <w:rFonts w:cs="Arial"/>
        </w:rPr>
      </w:pPr>
      <w:r>
        <w:rPr>
          <w:rFonts w:cs="Arial"/>
        </w:rPr>
        <w:t>A description of other forms of investment being used beyond those identified in Section 92.205 is as follows:</w:t>
      </w:r>
      <w:r>
        <w:rPr>
          <w:i/>
        </w:rPr>
        <w:t xml:space="preserve"> </w:t>
      </w:r>
      <w:r>
        <w:rPr>
          <w:rFonts w:cs="Arial"/>
          <w:i/>
        </w:rPr>
      </w:r>
    </w:p>
    <w:p>
      <w:pPr>
        <w:keepNext/>
        <w:widowControl w:val="false"/>
        <w:spacing w:beforeAutospacing="true" w:afterAutospacing="true"/>
        <w:ind w:left="360"/>
        <w:rPr>
          <w:rFonts w:cs="Arial"/>
        </w:rPr>
      </w:pPr>
      <w:r>
        <w:rPr>
          <w:rFonts w:cs="Arial"/>
        </w:rPr>
        <w:t xml:space="preserve">The City uses “Low and Moderate Income Housing Asset” funds to leverage its HOME funds. However, this funding source is limited.  The City will consider other funding sources such as federal and state tax credits in conjunction with the HOME funds to finance affordable housing projects.  </w:t>
      </w:r>
    </w:p>
    <w:p>
      <w:pPr>
        <w:spacing w:after="0" w:line="240" w:lineRule="auto"/>
        <w:rPr>
          <w:rFonts w:cs="Arial"/>
        </w:rPr>
      </w:pPr>
    </w:p>
    <w:p>
      <w:pPr>
        <w:keepNext/>
        <w:widowControl w:val="false"/>
        <w:numPr>
          <w:ilvl w:val="0"/>
          <w:numId w:val="13"/>
        </w:numPr>
        <w:spacing w:after="0" w:line="240" w:lineRule="auto"/>
        <w:rPr>
          <w:rFonts w:cs="Arial"/>
        </w:rPr>
      </w:pPr>
      <w:r>
        <w:rPr>
          <w:rFonts w:cs="Arial"/>
        </w:rPr>
        <w:t>A description of the guidelines that will be used for resale or recapture of HOME funds when used for homebuyer activities as required in 92.254, is as follows:</w:t>
      </w:r>
      <w:r>
        <w:rPr>
          <w:i/>
        </w:rPr>
        <w:t xml:space="preserve"> </w:t>
      </w:r>
      <w:r>
        <w:rPr>
          <w:rFonts w:cs="Arial"/>
          <w:i/>
        </w:rPr>
      </w:r>
    </w:p>
    <w:p>
      <w:pPr>
        <w:keepNext/>
        <w:widowControl w:val="false"/>
        <w:spacing w:beforeAutospacing="true" w:afterAutospacing="true"/>
        <w:ind w:left="360"/>
        <w:rPr>
          <w:rFonts w:cs="Arial"/>
        </w:rPr>
      </w:pPr>
      <w:r>
        <w:rPr>
          <w:rFonts w:cs="Arial"/>
        </w:rPr>
        <w:t xml:space="preserve">The City does not use HOME funds for homebuyer activities.</w:t>
      </w:r>
    </w:p>
    <w:p>
      <w:pPr>
        <w:spacing w:after="0" w:line="240" w:lineRule="auto"/>
        <w:rPr>
          <w:rFonts w:cs="Arial"/>
        </w:rPr>
      </w:pPr>
    </w:p>
    <w:p>
      <w:pPr>
        <w:keepNext/>
        <w:widowControl w:val="false"/>
        <w:numPr>
          <w:ilvl w:val="0"/>
          <w:numId w:val="13"/>
        </w:numPr>
        <w:spacing w:after="0" w:line="240" w:lineRule="auto"/>
        <w:rPr>
          <w:rFonts w:cs="Arial"/>
        </w:rPr>
      </w:pPr>
      <w:r>
        <w:rPr>
          <w:rFonts w:cs="Arial"/>
        </w:rPr>
        <w:t>A description of the guidelines for resale or recapture that ensures the affordability of units acquired with HOME funds? See 24 CFR 92.254(a)(4) are as follows:</w:t>
      </w:r>
      <w:r>
        <w:rPr>
          <w:i/>
        </w:rPr>
        <w:t xml:space="preserve"> </w:t>
      </w:r>
      <w:r>
        <w:rPr>
          <w:rFonts w:cs="Arial"/>
          <w:i/>
        </w:rPr>
      </w:r>
    </w:p>
    <w:p>
      <w:pPr>
        <w:keepNext/>
        <w:widowControl w:val="false"/>
        <w:spacing w:beforeAutospacing="true" w:afterAutospacing="true"/>
        <w:ind w:left="360"/>
        <w:rPr>
          <w:rFonts w:cs="Arial"/>
        </w:rPr>
      </w:pPr>
      <w:r>
        <w:rPr>
          <w:rFonts w:cs="Arial"/>
        </w:rPr>
        <w:t xml:space="preserve">The City allocates HOME funds for rental affordable housing projects.  Therefore, the City is not required to have guidelines for the resale or recapture of homeownership units acquired with HOME funds.</w:t>
      </w:r>
    </w:p>
    <w:p>
      <w:pPr>
        <w:spacing w:after="0" w:line="240" w:lineRule="auto"/>
        <w:rPr>
          <w:rFonts w:cs="Arial"/>
        </w:rPr>
      </w:pPr>
    </w:p>
    <w:p>
      <w:pPr>
        <w:keepNext/>
        <w:widowControl w:val="false"/>
        <w:numPr>
          <w:ilvl w:val="0"/>
          <w:numId w:val="13"/>
        </w:numPr>
        <w:spacing w:after="0" w:line="240" w:lineRule="auto"/>
        <w:rPr>
          <w:rFonts w:cs="Arial"/>
        </w:rPr>
      </w:pPr>
      <w:r>
        <w:rPr>
          <w:rFonts w:cs="Arial"/>
        </w:rPr>
        <w:t>Plans for using HOME funds to refinance existing debt secured by multifamily housing that is rehabilitated with HOME funds along with a description of the refinancing guidelines required that will be used under 24 CFR 92.206(b), are as follows:</w:t>
      </w:r>
      <w:r>
        <w:rPr>
          <w:i/>
        </w:rPr>
        <w:t xml:space="preserve"> </w:t>
      </w:r>
      <w:r>
        <w:rPr>
          <w:rFonts w:cs="Arial"/>
          <w:i/>
        </w:rPr>
      </w:r>
    </w:p>
    <w:p>
      <w:pPr>
        <w:keepNext/>
        <w:widowControl w:val="false"/>
        <w:spacing w:beforeAutospacing="true" w:afterAutospacing="true"/>
        <w:ind w:left="360"/>
        <w:rPr>
          <w:rFonts w:cs="Arial"/>
        </w:rPr>
      </w:pPr>
      <w:r>
        <w:rPr>
          <w:rFonts w:cs="Arial"/>
        </w:rPr>
        <w:t xml:space="preserve">The City does not use HOME funds to refinance existing debt on multifamily housing projects.</w:t>
      </w:r>
    </w:p>
    <w:p>
      <w:pPr>
        <w:spacing w:after="0" w:line="240" w:lineRule="auto"/>
        <w:ind w:left="360"/>
        <w:rPr>
          <w:rFonts w:cs="Arial"/>
        </w:rPr>
      </w:pPr>
    </w:p>
    <w:p>
      <w:pPr>
        <w:keepNext/>
        <w:widowControl w:val="false"/>
        <w:spacing w:after="0" w:line="240" w:lineRule="auto"/>
        <w:jc w:val="center"/>
        <w:rPr>
          <w:rFonts w:cs="Arial"/>
          <w:b/>
          <w:sz w:val="24"/>
          <w:szCs w:val="24"/>
        </w:rPr>
      </w:pPr>
    </w:p>
    <w:p>
      <w:pPr>
        <w:keepNext/>
        <w:widowControl w:val="false"/>
        <w:ind w:left="360"/>
        <w:rPr>
          <w:rFonts w:cs="Arial"/>
        </w:rPr>
      </w:pPr>
      <w:r>
        <w:rPr>
          <w:rFonts w:cs="Arial"/>
        </w:rPr>
      </w:r>
    </w:p>
    <w:p>
      <w:pPr>
        <w:widowControl w:val="false"/>
        <w:ind w:left="360"/>
        <w:rPr>
          <w:rFonts w:cs="Arial"/>
        </w:rPr>
      </w:pPr>
      <w:r>
        <w:rPr>
          <w:rFonts w:cs="Arial"/>
        </w:rPr>
      </w:r>
    </w:p>
    <w:p>
      <w:pPr>
        <w:widowControl w:val="false"/>
        <w:ind w:left="360"/>
        <w:rPr>
          <w:rFonts w:cs="Arial"/>
        </w:rPr>
      </w:pPr>
      <w:r>
        <w:rPr>
          <w:rFonts w:cs="Arial"/>
        </w:rPr>
      </w:r>
    </w:p>
    <w:p>
      <w:pPr>
        <w:widowControl w:val="false"/>
        <w:ind w:left="360"/>
        <w:rPr>
          <w:rFonts w:cs="Arial"/>
        </w:rPr>
      </w:pPr>
      <w:r>
        <w:rPr>
          <w:rFonts w:cs="Arial"/>
        </w:rPr>
      </w:r>
    </w:p>
    <w:p>
      <w:pPr>
        <w:widowControl w:val="false"/>
        <w:ind w:left="360"/>
        <w:rPr>
          <w:rFonts w:cs="Arial"/>
        </w:rPr>
      </w:pPr>
      <w:r>
        <w:rPr>
          <w:rFonts w:cs="Arial"/>
        </w:rPr>
      </w:r>
    </w:p>
    <w:p/>
    <w:p>
      <w:pPr>
        <w:contextualSpacing/>
        <w:rPr>
          <w:b/>
          <w:color w:val="000000" w:themeColor="text1"/>
          <w:sz w:val="24"/>
          <w:szCs w:val="24"/>
        </w:rPr>
      </w:pPr>
    </w:p>
    <w:p>
      <w:pPr>
        <w:spacing w:beforeAutospacing="true" w:afterAutospacing="true"/>
        <w:rPr>
          <w:rFonts w:cs="Arial"/>
        </w:rPr>
      </w:pPr>
      <w:r>
        <w:rPr>
          <w:rFonts w:cs="Arial"/>
        </w:rPr>
        <w:t xml:space="preserve">See previous sections for discussion.</w:t>
      </w:r>
    </w:p>
    <w:p>
      <w:pPr>
        <w:spacing w:after="0" w:line="240" w:lineRule="auto"/>
      </w:pPr>
      <w:r>
        <w:br w:type="page"/>
      </w:r>
    </w:p>
    <w:sectPr>
      <w:headerReference r:id="rId15" w:type="even"/>
      <w:headerReference r:id="rId16" w:type="default"/>
      <w:footerReference r:id="rId17" w:type="even"/>
      <w:headerReference r:id="rId18" w:type="first"/>
      <w:footerReference r:id="rId19" w:type="first"/>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ooter"/>
    </w:pPr>
  </w:p>
</w:ftr>
</file>

<file path=word/footer2.xml><?xml version="1.0" encoding="utf-8"?>
<w:ftr xmlns:w="http://schemas.openxmlformats.org/wordprocessingml/2006/main" xmlns:w14="http://schemas.microsoft.com/office/word/2010/wordml" xmlns:r="http://schemas.openxmlformats.org/officeDocument/2006/relationships" xmlns:m="http://schemas.openxmlformats.org/officeDocument/2006/math" xmlns:w15="http://schemas.microsoft.com/office/word/2012/wordml" xmlns:ns27="http://schemas.openxmlformats.org/schemaLibrary/2006/main" xmlns:mc="http://schemas.openxmlformats.org/markup-compatibility/2006" xmlns:wp="http://schemas.openxmlformats.org/drawingml/2006/wordprocessingDrawing" xmlns:a="http://schemas.openxmlformats.org/drawingml/2006/main">
  <w:tbl>
    <w:tblPr>
      <w:tblW w:w="0" w:type="auto"/>
      <w:jc w:val="center"/>
      <w:tblLayout w:type="fixed"/>
      <w:tblLook w:firstRow="1" w:lastRow="1" w:firstColumn="1" w:lastColumn="1" w:noHBand="0" w:noVBand="0" w:val="01E0"/>
    </w:tblPr>
    <w:tblGrid>
      <w:gridCol w:w="828"/>
      <w:gridCol w:w="7976"/>
      <w:gridCol w:w="772"/>
    </w:tblGrid>
    <w:tr>
      <w:trPr>
        <w:jc w:val="center"/>
      </w:trPr>
      <w:tc>
        <w:tcPr>
          <w:tcW w:w="828" w:type="dxa"/>
        </w:tcPr>
        <w:p>
          <w:pPr>
            <w:pStyle w:val="Footer"/>
            <w:spacing w:after="0" w:line="240" w:lineRule="auto"/>
            <w:jc w:val="center"/>
          </w:pPr>
        </w:p>
      </w:tc>
      <w:tc>
        <w:tcPr>
          <w:tcW w:w="7976" w:type="dxa"/>
        </w:tcPr>
        <w:p>
          <w:pPr>
            <w:pStyle w:val="Footer"/>
            <w:spacing w:after="0" w:line="240" w:lineRule="auto"/>
            <w:jc w:val="center"/>
          </w:pPr>
          <w:r>
            <w:t>Annual Action Plan</w:t>
          </w:r>
        </w:p>
        <w:p>
          <w:pPr>
            <w:pStyle w:val="Footer"/>
            <w:spacing w:after="0" w:line="240" w:lineRule="auto"/>
            <w:jc w:val="center"/>
            <w:rPr>
              <w:rFonts w:cs="Arial"/>
            </w:rPr>
          </w:pPr>
          <w:r>
            <w:t>2020</w:t>
          </w:r>
        </w:p>
      </w:tc>
      <w:tc>
        <w:tcPr>
          <w:tcW w:w="772" w:type="dxa"/>
        </w:tcPr>
        <w:p>
          <w:pPr>
            <w:pStyle w:val="Footer"/>
            <w:spacing w:after="0" w:line="240" w:lineRule="auto"/>
            <w:jc w:val="right"/>
          </w:pPr>
          <w:r>
            <w:fldChar w:fldCharType="begin"/>
            <w:instrText>page</w:instrText>
            <w:fldChar w:fldCharType="separate"/>
            <w:t>5</w:t>
            <w:fldChar w:fldCharType="end"/>
          </w:r>
        </w:p>
      </w:tc>
    </w:tr>
  </w:tbl>
  <w:p>
    <w:pPr>
      <w:pStyle w:val="Footer"/>
      <w:spacing w:before="120" w:after="0"/>
      <w:rPr>
        <w:rFonts w:asciiTheme="minorHAnsi" w:hAnsiTheme="minorHAnsi"/>
        <w:b/>
        <w:i/>
        <w:sz w:val="16"/>
      </w:rPr>
    </w:pPr>
    <w:r>
      <w:rPr>
        <w:rFonts w:cs="Arial" w:asciiTheme="minorHAnsi" w:hAnsiTheme="minorHAnsi"/>
        <w:color w:val="000000"/>
        <w:sz w:val="16"/>
      </w:rPr>
      <w:t>OMB Control No: 2506-0117 (exp. 09/30/2021)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ooter"/>
    </w:pPr>
  </w:p>
</w:ftr>
</file>

<file path=word/footer4.xml><?xml version="1.0" encoding="utf-8"?>
<w:ftr xmlns:w="http://schemas.openxmlformats.org/wordprocessingml/2006/main" xmlns:w14="http://schemas.microsoft.com/office/word/2010/wordml" xmlns:r="http://schemas.openxmlformats.org/officeDocument/2006/relationships" xmlns:m="http://schemas.openxmlformats.org/officeDocument/2006/math" xmlns:w15="http://schemas.microsoft.com/office/word/2012/wordml" xmlns:ns27="http://schemas.openxmlformats.org/schemaLibrary/2006/main" xmlns:mc="http://schemas.openxmlformats.org/markup-compatibility/2006" xmlns:wp="http://schemas.openxmlformats.org/drawingml/2006/wordprocessingDrawing" xmlns:a="http://schemas.openxmlformats.org/drawingml/2006/main">
  <w:tbl>
    <w:tblPr>
      <w:tblW w:w="0" w:type="auto"/>
      <w:jc w:val="center"/>
      <w:tblLayout w:type="fixed"/>
      <w:tblLook w:firstRow="1" w:lastRow="1" w:firstColumn="1" w:lastColumn="1" w:noHBand="0" w:noVBand="0" w:val="01E0"/>
    </w:tblPr>
    <w:tblGrid>
      <w:gridCol w:w="828"/>
      <w:gridCol w:w="7976"/>
      <w:gridCol w:w="772"/>
    </w:tblGrid>
    <w:tr>
      <w:trPr>
        <w:jc w:val="center"/>
      </w:trPr>
      <w:tc>
        <w:tcPr>
          <w:tcW w:w="828" w:type="dxa"/>
        </w:tcPr>
        <w:p>
          <w:pPr>
            <w:pStyle w:val="Footer"/>
            <w:spacing w:after="0" w:line="240" w:lineRule="auto"/>
            <w:jc w:val="center"/>
          </w:pPr>
        </w:p>
      </w:tc>
      <w:tc>
        <w:tcPr>
          <w:tcW w:w="7976" w:type="dxa"/>
        </w:tcPr>
        <w:p>
          <w:pPr>
            <w:pStyle w:val="Footer"/>
            <w:spacing w:after="0" w:line="240" w:lineRule="auto"/>
            <w:jc w:val="center"/>
          </w:pPr>
          <w:r>
            <w:t>Annual Action Plan</w:t>
          </w:r>
        </w:p>
        <w:p>
          <w:pPr>
            <w:pStyle w:val="Footer"/>
            <w:spacing w:after="0" w:line="240" w:lineRule="auto"/>
            <w:jc w:val="center"/>
            <w:rPr>
              <w:rFonts w:cs="Arial"/>
            </w:rPr>
          </w:pPr>
          <w:r>
            <w:t>2020</w:t>
          </w:r>
        </w:p>
      </w:tc>
      <w:tc>
        <w:tcPr>
          <w:tcW w:w="772" w:type="dxa"/>
        </w:tcPr>
        <w:p>
          <w:pPr>
            <w:pStyle w:val="Footer"/>
            <w:spacing w:after="0" w:line="240" w:lineRule="auto"/>
            <w:jc w:val="right"/>
          </w:pPr>
          <w:r>
            <w:fldChar w:fldCharType="begin"/>
            <w:instrText>page</w:instrText>
            <w:fldChar w:fldCharType="separate"/>
            <w:t>35</w:t>
            <w:fldChar w:fldCharType="end"/>
          </w:r>
        </w:p>
      </w:tc>
    </w:tr>
  </w:tbl>
  <w:p>
    <w:pPr>
      <w:pStyle w:val="Footer"/>
      <w:spacing w:before="120" w:after="0"/>
      <w:rPr>
        <w:rFonts w:asciiTheme="minorHAnsi" w:hAnsiTheme="minorHAnsi"/>
        <w:b/>
        <w:i/>
        <w:sz w:val="16"/>
      </w:rPr>
    </w:pPr>
    <w:r>
      <w:rPr>
        <w:rFonts w:cs="Arial" w:asciiTheme="minorHAnsi" w:hAnsiTheme="minorHAnsi"/>
        <w:color w:val="000000"/>
        <w:sz w:val="16"/>
      </w:rPr>
      <w:t>OMB Control No: 2506-0117 (exp. 09/30/2021)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
        <w:separator/>
      </w:r>
    </w:p>
  </w:footnote>
  <w:footnote w:type="continuationSeparator" w:id="0">
    <w:p>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73108E9C"/>
    <w:lvl w:ilvl="0">
      <w:start w:val="1"/>
      <w:numFmt w:val="decimal"/>
      <w:lvlText w:val="%1."/>
      <w:lvlJc w:val="left"/>
      <w:pPr>
        <w:tabs>
          <w:tab w:val="num" w:pos="1800"/>
        </w:tabs>
        <w:ind w:left="1800" w:hanging="360"/>
      </w:pPr>
      <w:rPr>
        <w:rFonts w:cs="Times New Roman"/>
      </w:rPr>
    </w:lvl>
  </w:abstractNum>
  <w:abstractNum w:abstractNumId="1" w15:restartNumberingAfterBreak="0">
    <w:nsid w:val="FFFFFF7D"/>
    <w:multiLevelType w:val="singleLevel"/>
    <w:tmpl w:val="A3848782"/>
    <w:lvl w:ilvl="0">
      <w:start w:val="1"/>
      <w:numFmt w:val="decimal"/>
      <w:lvlText w:val="%1."/>
      <w:lvlJc w:val="left"/>
      <w:pPr>
        <w:tabs>
          <w:tab w:val="num" w:pos="1440"/>
        </w:tabs>
        <w:ind w:left="1440" w:hanging="360"/>
      </w:pPr>
      <w:rPr>
        <w:rFonts w:cs="Times New Roman"/>
      </w:rPr>
    </w:lvl>
  </w:abstractNum>
  <w:abstractNum w:abstractNumId="2" w15:restartNumberingAfterBreak="0">
    <w:nsid w:val="FFFFFF7E"/>
    <w:multiLevelType w:val="singleLevel"/>
    <w:tmpl w:val="111CDC50"/>
    <w:lvl w:ilvl="0">
      <w:start w:val="1"/>
      <w:numFmt w:val="decimal"/>
      <w:lvlText w:val="%1."/>
      <w:lvlJc w:val="left"/>
      <w:pPr>
        <w:tabs>
          <w:tab w:val="num" w:pos="1080"/>
        </w:tabs>
        <w:ind w:left="1080" w:hanging="360"/>
      </w:pPr>
      <w:rPr>
        <w:rFonts w:cs="Times New Roman"/>
      </w:rPr>
    </w:lvl>
  </w:abstractNum>
  <w:abstractNum w:abstractNumId="3" w15:restartNumberingAfterBreak="0">
    <w:nsid w:val="FFFFFF7F"/>
    <w:multiLevelType w:val="singleLevel"/>
    <w:tmpl w:val="6CECF734"/>
    <w:lvl w:ilvl="0">
      <w:start w:val="1"/>
      <w:numFmt w:val="decimal"/>
      <w:lvlText w:val="%1."/>
      <w:lvlJc w:val="left"/>
      <w:pPr>
        <w:tabs>
          <w:tab w:val="num" w:pos="720"/>
        </w:tabs>
        <w:ind w:left="720" w:hanging="360"/>
      </w:pPr>
      <w:rPr>
        <w:rFonts w:cs="Times New Roman"/>
      </w:rPr>
    </w:lvl>
  </w:abstractNum>
  <w:abstractNum w:abstractNumId="4" w15:restartNumberingAfterBreak="0">
    <w:nsid w:val="FFFFFF80"/>
    <w:multiLevelType w:val="singleLevel"/>
    <w:tmpl w:val="A8B8103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FECD4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6E986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ACAE8C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3EC8214"/>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67F0FC4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2A6DC6"/>
    <w:multiLevelType w:val="hybridMultilevel"/>
    <w:tmpl w:val="203CEBDC"/>
    <w:lvl w:ilvl="0" w:tplc="04090013">
      <w:start w:val="1"/>
      <w:numFmt w:val="upperRoman"/>
      <w:lvlText w:val="%1."/>
      <w:lvlJc w:val="right"/>
      <w:pPr>
        <w:tabs>
          <w:tab w:val="num" w:pos="720"/>
        </w:tabs>
        <w:ind w:left="720" w:hanging="18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045B42A3"/>
    <w:multiLevelType w:val="hybridMultilevel"/>
    <w:tmpl w:val="FA82EE94"/>
    <w:lvl w:ilvl="0" w:tplc="04090013">
      <w:start w:val="1"/>
      <w:numFmt w:val="upperRoman"/>
      <w:lvlText w:val="%1."/>
      <w:lvlJc w:val="righ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13CB0CE3"/>
    <w:multiLevelType w:val="hybridMultilevel"/>
    <w:tmpl w:val="A09AC69E"/>
    <w:lvl w:ilvl="0" w:tplc="696A65CC">
      <w:start w:val="1"/>
      <w:numFmt w:val="decimal"/>
      <w:lvlText w:val="%1."/>
      <w:lvlJc w:val="left"/>
      <w:pPr>
        <w:ind w:left="360" w:hanging="360"/>
      </w:pPr>
      <w:rPr>
        <w:rFonts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14528EA"/>
    <w:multiLevelType w:val="hybridMultilevel"/>
    <w:tmpl w:val="1AE41A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519A3E8F"/>
    <w:multiLevelType w:val="hybridMultilevel"/>
    <w:tmpl w:val="77020142"/>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5" w15:restartNumberingAfterBreak="0">
    <w:nsid w:val="58CE2ACE"/>
    <w:multiLevelType w:val="hybridMultilevel"/>
    <w:tmpl w:val="D780CAE8"/>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6" w15:restartNumberingAfterBreak="0">
    <w:nsid w:val="6D5C4484"/>
    <w:multiLevelType w:val="hybridMultilevel"/>
    <w:tmpl w:val="65061610"/>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7" w15:restartNumberingAfterBreak="0">
    <w:nsid w:val="7CAD51AB"/>
    <w:multiLevelType w:val="hybridMultilevel"/>
    <w:tmpl w:val="242AB0BC"/>
    <w:lvl w:ilvl="0" w:tplc="0409000F">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num w:numId="1">
    <w:abstractNumId w:val="11"/>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0"/>
  </w:num>
  <w:num w:numId="13">
    <w:abstractNumId w:val="17"/>
  </w:num>
  <w:num w:numId="14">
    <w:abstractNumId w:val="15"/>
  </w:num>
  <w:num w:numId="15">
    <w:abstractNumId w:val="14"/>
  </w:num>
  <w:num w:numId="16">
    <w:abstractNumId w:val="16"/>
  </w:num>
  <w:num w:numId="17">
    <w:abstractNumId w:val="12"/>
  </w:num>
  <w:num w:numId="18">
    <w:abstractNumId w:val="13"/>
  </w:num>
</w:numbering>
</file>

<file path=word/settings.xml><?xml version="1.0" encoding="utf-8"?>
<w:settings xmlns:w="http://schemas.openxmlformats.org/wordprocessingml/2006/main" xmlns:w14="http://schemas.microsoft.com/office/word/2010/wordml" xmlns:r="http://schemas.openxmlformats.org/officeDocument/2006/relationships" xmlns:m="http://schemas.openxmlformats.org/officeDocument/2006/math" xmlns:w15="http://schemas.microsoft.com/office/word/2012/wordml" xmlns:ns27="http://schemas.openxmlformats.org/schemaLibrary/2006/main" xmlns:mc="http://schemas.openxmlformats.org/markup-compatibility/2006" xmlns:wp="http://schemas.openxmlformats.org/drawingml/2006/wordprocessingDrawing" xmlns:a="http://schemas.openxmlformats.org/drawingml/2006/main" mc:Ignorable="w14 w15">
  <w:view w:val="print"/>
  <w:zoom w:percent="100"/>
  <w:documentProtection w:edit="readOnly" w:enforcement="true" w:cryptProviderType="rsaFull" w:cryptAlgorithmClass="hash" w:cryptAlgorithmType="typeAny" w:cryptAlgorithmSid="4" w:cryptSpinCount="100000" w:hash="OW9ON25Xa0NBeUVaaWIxUm9tU0pUam1QcENZPQ==" w:salt="WlVkSGErRDhGL09BS1AzSTdzc1VuUT09"/>
  <w:defaultTabStop w:val="720"/>
  <w:characterSpacingControl w:val="doNotCompress"/>
  <w:hdrShapeDefaults>
    <o:shapedefaults xmlns:v="urn:schemas-microsoft-com:vml" xmlns:o="urn:schemas-microsoft-com:office:office" spidmax="2049" v:ext="edi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F3550"/>
    <w:rsid w:val="00000EC6"/>
    <w:rsid w:val="00001671"/>
    <w:rsid w:val="000029F4"/>
    <w:rsid w:val="00004F01"/>
    <w:rsid w:val="000079B1"/>
    <w:rsid w:val="000101FE"/>
    <w:rsid w:val="000116B2"/>
    <w:rsid w:val="000153F6"/>
    <w:rsid w:val="0001643E"/>
    <w:rsid w:val="000202EB"/>
    <w:rsid w:val="000204C7"/>
    <w:rsid w:val="00022CF5"/>
    <w:rsid w:val="00024F61"/>
    <w:rsid w:val="0002521E"/>
    <w:rsid w:val="00026149"/>
    <w:rsid w:val="00027899"/>
    <w:rsid w:val="00032C1E"/>
    <w:rsid w:val="0003300B"/>
    <w:rsid w:val="000338FC"/>
    <w:rsid w:val="00034405"/>
    <w:rsid w:val="0003459B"/>
    <w:rsid w:val="00035628"/>
    <w:rsid w:val="000357CA"/>
    <w:rsid w:val="00035F04"/>
    <w:rsid w:val="00042C4D"/>
    <w:rsid w:val="00043B67"/>
    <w:rsid w:val="00044565"/>
    <w:rsid w:val="00047E3E"/>
    <w:rsid w:val="000518AA"/>
    <w:rsid w:val="00052114"/>
    <w:rsid w:val="00053E62"/>
    <w:rsid w:val="00054780"/>
    <w:rsid w:val="00056828"/>
    <w:rsid w:val="00057E29"/>
    <w:rsid w:val="00060CE4"/>
    <w:rsid w:val="00061845"/>
    <w:rsid w:val="00061B37"/>
    <w:rsid w:val="00061E41"/>
    <w:rsid w:val="000620FD"/>
    <w:rsid w:val="000661A8"/>
    <w:rsid w:val="000670CF"/>
    <w:rsid w:val="00067FD4"/>
    <w:rsid w:val="00070633"/>
    <w:rsid w:val="000717E5"/>
    <w:rsid w:val="00071F05"/>
    <w:rsid w:val="00072C8A"/>
    <w:rsid w:val="00072F46"/>
    <w:rsid w:val="000734F6"/>
    <w:rsid w:val="00075AB2"/>
    <w:rsid w:val="0007671E"/>
    <w:rsid w:val="00077F16"/>
    <w:rsid w:val="00080209"/>
    <w:rsid w:val="0008068E"/>
    <w:rsid w:val="00080943"/>
    <w:rsid w:val="00080ECB"/>
    <w:rsid w:val="00081136"/>
    <w:rsid w:val="000825DF"/>
    <w:rsid w:val="000831B8"/>
    <w:rsid w:val="00083B49"/>
    <w:rsid w:val="00083BEB"/>
    <w:rsid w:val="0008420F"/>
    <w:rsid w:val="00084E02"/>
    <w:rsid w:val="00085ECE"/>
    <w:rsid w:val="0008764E"/>
    <w:rsid w:val="00087BEC"/>
    <w:rsid w:val="00091139"/>
    <w:rsid w:val="000918AD"/>
    <w:rsid w:val="00093BF8"/>
    <w:rsid w:val="0009415B"/>
    <w:rsid w:val="0009419B"/>
    <w:rsid w:val="00096632"/>
    <w:rsid w:val="00096BAB"/>
    <w:rsid w:val="00096FE3"/>
    <w:rsid w:val="00097155"/>
    <w:rsid w:val="000975D9"/>
    <w:rsid w:val="000A3328"/>
    <w:rsid w:val="000A3869"/>
    <w:rsid w:val="000A3AF5"/>
    <w:rsid w:val="000A6604"/>
    <w:rsid w:val="000A7EB6"/>
    <w:rsid w:val="000B0148"/>
    <w:rsid w:val="000B291F"/>
    <w:rsid w:val="000B45BD"/>
    <w:rsid w:val="000B5D24"/>
    <w:rsid w:val="000B7A3C"/>
    <w:rsid w:val="000C0752"/>
    <w:rsid w:val="000C0905"/>
    <w:rsid w:val="000C20FC"/>
    <w:rsid w:val="000C265E"/>
    <w:rsid w:val="000C3ACA"/>
    <w:rsid w:val="000C4F98"/>
    <w:rsid w:val="000C666E"/>
    <w:rsid w:val="000C74F3"/>
    <w:rsid w:val="000D2573"/>
    <w:rsid w:val="000D422A"/>
    <w:rsid w:val="000D488E"/>
    <w:rsid w:val="000D4D7D"/>
    <w:rsid w:val="000D7D16"/>
    <w:rsid w:val="000E0343"/>
    <w:rsid w:val="000E0D5D"/>
    <w:rsid w:val="000E13BA"/>
    <w:rsid w:val="000E1DFB"/>
    <w:rsid w:val="000E1F9B"/>
    <w:rsid w:val="000E319C"/>
    <w:rsid w:val="000E3358"/>
    <w:rsid w:val="000E34C4"/>
    <w:rsid w:val="000E4A11"/>
    <w:rsid w:val="000E5032"/>
    <w:rsid w:val="000E53D6"/>
    <w:rsid w:val="000E5FBD"/>
    <w:rsid w:val="000E6121"/>
    <w:rsid w:val="000E640E"/>
    <w:rsid w:val="000E6B9A"/>
    <w:rsid w:val="000E6CB6"/>
    <w:rsid w:val="000F04AF"/>
    <w:rsid w:val="000F1DD7"/>
    <w:rsid w:val="000F21DE"/>
    <w:rsid w:val="000F6B53"/>
    <w:rsid w:val="000F7A05"/>
    <w:rsid w:val="00101E3D"/>
    <w:rsid w:val="00102442"/>
    <w:rsid w:val="0010332E"/>
    <w:rsid w:val="0010487A"/>
    <w:rsid w:val="00106CAB"/>
    <w:rsid w:val="0010757C"/>
    <w:rsid w:val="001105E4"/>
    <w:rsid w:val="001121F8"/>
    <w:rsid w:val="00112F30"/>
    <w:rsid w:val="00114CA6"/>
    <w:rsid w:val="00115066"/>
    <w:rsid w:val="00117AB9"/>
    <w:rsid w:val="00117CAF"/>
    <w:rsid w:val="00120904"/>
    <w:rsid w:val="00121945"/>
    <w:rsid w:val="00123B67"/>
    <w:rsid w:val="00124E85"/>
    <w:rsid w:val="00125428"/>
    <w:rsid w:val="001256B0"/>
    <w:rsid w:val="00125FCA"/>
    <w:rsid w:val="001261A0"/>
    <w:rsid w:val="00132B0C"/>
    <w:rsid w:val="00132CEA"/>
    <w:rsid w:val="00134B79"/>
    <w:rsid w:val="0013545A"/>
    <w:rsid w:val="00135B76"/>
    <w:rsid w:val="00135EA7"/>
    <w:rsid w:val="00136724"/>
    <w:rsid w:val="00140088"/>
    <w:rsid w:val="00141F8B"/>
    <w:rsid w:val="001442FB"/>
    <w:rsid w:val="001460FB"/>
    <w:rsid w:val="00150B00"/>
    <w:rsid w:val="00151FDE"/>
    <w:rsid w:val="001539D4"/>
    <w:rsid w:val="00156045"/>
    <w:rsid w:val="00156205"/>
    <w:rsid w:val="00157D8A"/>
    <w:rsid w:val="0016089C"/>
    <w:rsid w:val="00160AC1"/>
    <w:rsid w:val="0016267E"/>
    <w:rsid w:val="00162A99"/>
    <w:rsid w:val="00163BA8"/>
    <w:rsid w:val="00164969"/>
    <w:rsid w:val="00165B3F"/>
    <w:rsid w:val="00166377"/>
    <w:rsid w:val="001703C2"/>
    <w:rsid w:val="0017195A"/>
    <w:rsid w:val="001728FD"/>
    <w:rsid w:val="00172D3C"/>
    <w:rsid w:val="0017391B"/>
    <w:rsid w:val="00175A92"/>
    <w:rsid w:val="00176F2C"/>
    <w:rsid w:val="0017730C"/>
    <w:rsid w:val="00177DEF"/>
    <w:rsid w:val="00180218"/>
    <w:rsid w:val="00180753"/>
    <w:rsid w:val="00180E8A"/>
    <w:rsid w:val="00181247"/>
    <w:rsid w:val="00181253"/>
    <w:rsid w:val="00182A06"/>
    <w:rsid w:val="0018383F"/>
    <w:rsid w:val="00184182"/>
    <w:rsid w:val="00184AE8"/>
    <w:rsid w:val="00184B7E"/>
    <w:rsid w:val="00184CFB"/>
    <w:rsid w:val="00184F71"/>
    <w:rsid w:val="00186776"/>
    <w:rsid w:val="00190078"/>
    <w:rsid w:val="00192527"/>
    <w:rsid w:val="00192E4D"/>
    <w:rsid w:val="00193AF0"/>
    <w:rsid w:val="00194CDA"/>
    <w:rsid w:val="00194DE6"/>
    <w:rsid w:val="00195D5C"/>
    <w:rsid w:val="00197A7A"/>
    <w:rsid w:val="001A0074"/>
    <w:rsid w:val="001A0F7B"/>
    <w:rsid w:val="001A1131"/>
    <w:rsid w:val="001A226D"/>
    <w:rsid w:val="001A6644"/>
    <w:rsid w:val="001A6F81"/>
    <w:rsid w:val="001A781C"/>
    <w:rsid w:val="001A7953"/>
    <w:rsid w:val="001A7F28"/>
    <w:rsid w:val="001B5AF8"/>
    <w:rsid w:val="001B6520"/>
    <w:rsid w:val="001B6936"/>
    <w:rsid w:val="001B75E2"/>
    <w:rsid w:val="001B7DB9"/>
    <w:rsid w:val="001C2692"/>
    <w:rsid w:val="001C3C19"/>
    <w:rsid w:val="001C40DA"/>
    <w:rsid w:val="001C4867"/>
    <w:rsid w:val="001C516A"/>
    <w:rsid w:val="001C5C58"/>
    <w:rsid w:val="001C61C3"/>
    <w:rsid w:val="001C696A"/>
    <w:rsid w:val="001C6F4A"/>
    <w:rsid w:val="001D0384"/>
    <w:rsid w:val="001D20E3"/>
    <w:rsid w:val="001D2586"/>
    <w:rsid w:val="001D269C"/>
    <w:rsid w:val="001D285F"/>
    <w:rsid w:val="001D5457"/>
    <w:rsid w:val="001D6AF5"/>
    <w:rsid w:val="001D6ECF"/>
    <w:rsid w:val="001D78ED"/>
    <w:rsid w:val="001D7E43"/>
    <w:rsid w:val="001E1072"/>
    <w:rsid w:val="001E325A"/>
    <w:rsid w:val="001E3AA1"/>
    <w:rsid w:val="001E3EA8"/>
    <w:rsid w:val="001E551F"/>
    <w:rsid w:val="001E6E6E"/>
    <w:rsid w:val="001E763D"/>
    <w:rsid w:val="001E7D42"/>
    <w:rsid w:val="001F1BE7"/>
    <w:rsid w:val="001F3C7D"/>
    <w:rsid w:val="001F68DE"/>
    <w:rsid w:val="001F6B14"/>
    <w:rsid w:val="00204E13"/>
    <w:rsid w:val="00205644"/>
    <w:rsid w:val="00205CCE"/>
    <w:rsid w:val="00207A05"/>
    <w:rsid w:val="00212E96"/>
    <w:rsid w:val="002137A1"/>
    <w:rsid w:val="00214170"/>
    <w:rsid w:val="002144A6"/>
    <w:rsid w:val="00215FFC"/>
    <w:rsid w:val="00216A02"/>
    <w:rsid w:val="0021781D"/>
    <w:rsid w:val="00217B66"/>
    <w:rsid w:val="00217EA0"/>
    <w:rsid w:val="00220C8E"/>
    <w:rsid w:val="00221262"/>
    <w:rsid w:val="00221D81"/>
    <w:rsid w:val="00224031"/>
    <w:rsid w:val="00224741"/>
    <w:rsid w:val="00224CD2"/>
    <w:rsid w:val="002266F1"/>
    <w:rsid w:val="00226B59"/>
    <w:rsid w:val="002311BD"/>
    <w:rsid w:val="002323D0"/>
    <w:rsid w:val="0023315D"/>
    <w:rsid w:val="00233524"/>
    <w:rsid w:val="00233956"/>
    <w:rsid w:val="00233ACF"/>
    <w:rsid w:val="002346CD"/>
    <w:rsid w:val="00234918"/>
    <w:rsid w:val="00236F35"/>
    <w:rsid w:val="00236F9D"/>
    <w:rsid w:val="00240AEF"/>
    <w:rsid w:val="0024397D"/>
    <w:rsid w:val="00243E3D"/>
    <w:rsid w:val="00244EDB"/>
    <w:rsid w:val="00247E65"/>
    <w:rsid w:val="0025305C"/>
    <w:rsid w:val="00254774"/>
    <w:rsid w:val="0025577D"/>
    <w:rsid w:val="00255CB4"/>
    <w:rsid w:val="0025607E"/>
    <w:rsid w:val="00256481"/>
    <w:rsid w:val="00261EA3"/>
    <w:rsid w:val="00263CA8"/>
    <w:rsid w:val="002643F3"/>
    <w:rsid w:val="0026448F"/>
    <w:rsid w:val="002660BC"/>
    <w:rsid w:val="00267042"/>
    <w:rsid w:val="00267FE2"/>
    <w:rsid w:val="0027020F"/>
    <w:rsid w:val="002707F7"/>
    <w:rsid w:val="00270B46"/>
    <w:rsid w:val="00271E3A"/>
    <w:rsid w:val="002721FA"/>
    <w:rsid w:val="00272E1D"/>
    <w:rsid w:val="00275F5E"/>
    <w:rsid w:val="002764CB"/>
    <w:rsid w:val="0027673E"/>
    <w:rsid w:val="00277A52"/>
    <w:rsid w:val="00280459"/>
    <w:rsid w:val="00281E9A"/>
    <w:rsid w:val="00283CA8"/>
    <w:rsid w:val="00284AD9"/>
    <w:rsid w:val="00284E5C"/>
    <w:rsid w:val="00285752"/>
    <w:rsid w:val="002905D8"/>
    <w:rsid w:val="00292ECE"/>
    <w:rsid w:val="00294B1B"/>
    <w:rsid w:val="00294CA9"/>
    <w:rsid w:val="00295998"/>
    <w:rsid w:val="002969C3"/>
    <w:rsid w:val="00296FD9"/>
    <w:rsid w:val="002A2068"/>
    <w:rsid w:val="002A206F"/>
    <w:rsid w:val="002A2980"/>
    <w:rsid w:val="002A4896"/>
    <w:rsid w:val="002A49B8"/>
    <w:rsid w:val="002A4E8C"/>
    <w:rsid w:val="002A5179"/>
    <w:rsid w:val="002A57D8"/>
    <w:rsid w:val="002A5D07"/>
    <w:rsid w:val="002B5274"/>
    <w:rsid w:val="002C12CE"/>
    <w:rsid w:val="002C155C"/>
    <w:rsid w:val="002C2FAB"/>
    <w:rsid w:val="002C3395"/>
    <w:rsid w:val="002C4269"/>
    <w:rsid w:val="002C451D"/>
    <w:rsid w:val="002C547E"/>
    <w:rsid w:val="002C5F73"/>
    <w:rsid w:val="002C70CE"/>
    <w:rsid w:val="002D34A9"/>
    <w:rsid w:val="002D478C"/>
    <w:rsid w:val="002D566A"/>
    <w:rsid w:val="002E373E"/>
    <w:rsid w:val="002E7287"/>
    <w:rsid w:val="002E7822"/>
    <w:rsid w:val="002F00E3"/>
    <w:rsid w:val="002F2A9F"/>
    <w:rsid w:val="002F4183"/>
    <w:rsid w:val="002F475D"/>
    <w:rsid w:val="002F5272"/>
    <w:rsid w:val="002F664F"/>
    <w:rsid w:val="002F7155"/>
    <w:rsid w:val="002F71D6"/>
    <w:rsid w:val="002F7A63"/>
    <w:rsid w:val="0030068B"/>
    <w:rsid w:val="00302737"/>
    <w:rsid w:val="00303AB8"/>
    <w:rsid w:val="003045F6"/>
    <w:rsid w:val="00304D73"/>
    <w:rsid w:val="00305182"/>
    <w:rsid w:val="003056D6"/>
    <w:rsid w:val="00306E0A"/>
    <w:rsid w:val="00312C1B"/>
    <w:rsid w:val="00314B0B"/>
    <w:rsid w:val="00316098"/>
    <w:rsid w:val="00316631"/>
    <w:rsid w:val="00316EE5"/>
    <w:rsid w:val="00317B1C"/>
    <w:rsid w:val="00321A46"/>
    <w:rsid w:val="00321E62"/>
    <w:rsid w:val="00323299"/>
    <w:rsid w:val="0032477D"/>
    <w:rsid w:val="003262D2"/>
    <w:rsid w:val="00327329"/>
    <w:rsid w:val="00327499"/>
    <w:rsid w:val="00327DDD"/>
    <w:rsid w:val="0033058A"/>
    <w:rsid w:val="00330AC7"/>
    <w:rsid w:val="003317C3"/>
    <w:rsid w:val="0033195A"/>
    <w:rsid w:val="00332A82"/>
    <w:rsid w:val="003350EA"/>
    <w:rsid w:val="003371DB"/>
    <w:rsid w:val="0034021F"/>
    <w:rsid w:val="0034130D"/>
    <w:rsid w:val="0034133C"/>
    <w:rsid w:val="003416A3"/>
    <w:rsid w:val="00342143"/>
    <w:rsid w:val="0034375C"/>
    <w:rsid w:val="00343AC1"/>
    <w:rsid w:val="0034477A"/>
    <w:rsid w:val="0034596B"/>
    <w:rsid w:val="00346C40"/>
    <w:rsid w:val="00350083"/>
    <w:rsid w:val="003504FE"/>
    <w:rsid w:val="00351DF3"/>
    <w:rsid w:val="003521B8"/>
    <w:rsid w:val="00352316"/>
    <w:rsid w:val="00352977"/>
    <w:rsid w:val="003543C9"/>
    <w:rsid w:val="00354514"/>
    <w:rsid w:val="003550DA"/>
    <w:rsid w:val="003553D6"/>
    <w:rsid w:val="003558E7"/>
    <w:rsid w:val="00356DF3"/>
    <w:rsid w:val="00357C5C"/>
    <w:rsid w:val="00361CC3"/>
    <w:rsid w:val="003636A4"/>
    <w:rsid w:val="00364B41"/>
    <w:rsid w:val="00365CE8"/>
    <w:rsid w:val="003668AF"/>
    <w:rsid w:val="00370741"/>
    <w:rsid w:val="0037146A"/>
    <w:rsid w:val="0037176A"/>
    <w:rsid w:val="00373A69"/>
    <w:rsid w:val="00375479"/>
    <w:rsid w:val="0037664B"/>
    <w:rsid w:val="00377B14"/>
    <w:rsid w:val="00380C4B"/>
    <w:rsid w:val="003814EF"/>
    <w:rsid w:val="003827C5"/>
    <w:rsid w:val="00383267"/>
    <w:rsid w:val="00383DA8"/>
    <w:rsid w:val="00383E3E"/>
    <w:rsid w:val="00384469"/>
    <w:rsid w:val="00392557"/>
    <w:rsid w:val="00393270"/>
    <w:rsid w:val="00393D1A"/>
    <w:rsid w:val="00394D6A"/>
    <w:rsid w:val="00394F4A"/>
    <w:rsid w:val="003958CF"/>
    <w:rsid w:val="00396613"/>
    <w:rsid w:val="003A05A0"/>
    <w:rsid w:val="003A05C5"/>
    <w:rsid w:val="003A13CA"/>
    <w:rsid w:val="003A1AB1"/>
    <w:rsid w:val="003A1AEA"/>
    <w:rsid w:val="003A231A"/>
    <w:rsid w:val="003A3022"/>
    <w:rsid w:val="003A35A7"/>
    <w:rsid w:val="003A3BED"/>
    <w:rsid w:val="003A3DFE"/>
    <w:rsid w:val="003A415B"/>
    <w:rsid w:val="003A4A28"/>
    <w:rsid w:val="003A5B2A"/>
    <w:rsid w:val="003A683D"/>
    <w:rsid w:val="003B2D3A"/>
    <w:rsid w:val="003B441D"/>
    <w:rsid w:val="003B47FF"/>
    <w:rsid w:val="003B66A4"/>
    <w:rsid w:val="003B7C61"/>
    <w:rsid w:val="003C0F81"/>
    <w:rsid w:val="003C0FDC"/>
    <w:rsid w:val="003C1534"/>
    <w:rsid w:val="003C1628"/>
    <w:rsid w:val="003C2B1B"/>
    <w:rsid w:val="003C2DA5"/>
    <w:rsid w:val="003C43EF"/>
    <w:rsid w:val="003C464D"/>
    <w:rsid w:val="003C4B53"/>
    <w:rsid w:val="003C6161"/>
    <w:rsid w:val="003D20C4"/>
    <w:rsid w:val="003D4D5B"/>
    <w:rsid w:val="003D70BB"/>
    <w:rsid w:val="003D72A1"/>
    <w:rsid w:val="003D76CD"/>
    <w:rsid w:val="003E0F35"/>
    <w:rsid w:val="003E14A9"/>
    <w:rsid w:val="003E22CB"/>
    <w:rsid w:val="003E258F"/>
    <w:rsid w:val="003E3F93"/>
    <w:rsid w:val="003E44AF"/>
    <w:rsid w:val="003E4568"/>
    <w:rsid w:val="003E60F8"/>
    <w:rsid w:val="003E7DDE"/>
    <w:rsid w:val="003F0F13"/>
    <w:rsid w:val="003F5DE1"/>
    <w:rsid w:val="003F5F7A"/>
    <w:rsid w:val="004000E2"/>
    <w:rsid w:val="00400274"/>
    <w:rsid w:val="00400B9A"/>
    <w:rsid w:val="00403D51"/>
    <w:rsid w:val="004102A4"/>
    <w:rsid w:val="00413021"/>
    <w:rsid w:val="00413518"/>
    <w:rsid w:val="0041369A"/>
    <w:rsid w:val="00415912"/>
    <w:rsid w:val="00416FB6"/>
    <w:rsid w:val="0042286B"/>
    <w:rsid w:val="00425F63"/>
    <w:rsid w:val="00427D78"/>
    <w:rsid w:val="0043271A"/>
    <w:rsid w:val="00432796"/>
    <w:rsid w:val="00432EB4"/>
    <w:rsid w:val="00432F29"/>
    <w:rsid w:val="00434057"/>
    <w:rsid w:val="00435096"/>
    <w:rsid w:val="00440CE0"/>
    <w:rsid w:val="0044241B"/>
    <w:rsid w:val="00443A29"/>
    <w:rsid w:val="00443DE8"/>
    <w:rsid w:val="00444619"/>
    <w:rsid w:val="004448CA"/>
    <w:rsid w:val="004468BC"/>
    <w:rsid w:val="00447517"/>
    <w:rsid w:val="00450760"/>
    <w:rsid w:val="00450FE7"/>
    <w:rsid w:val="00451AA9"/>
    <w:rsid w:val="004527FE"/>
    <w:rsid w:val="00452EC7"/>
    <w:rsid w:val="00453175"/>
    <w:rsid w:val="00453780"/>
    <w:rsid w:val="0045398A"/>
    <w:rsid w:val="00455495"/>
    <w:rsid w:val="00461B64"/>
    <w:rsid w:val="0046519F"/>
    <w:rsid w:val="004657FC"/>
    <w:rsid w:val="0046678C"/>
    <w:rsid w:val="0046760B"/>
    <w:rsid w:val="004702B9"/>
    <w:rsid w:val="00470BB5"/>
    <w:rsid w:val="004718FE"/>
    <w:rsid w:val="00474B58"/>
    <w:rsid w:val="00474C83"/>
    <w:rsid w:val="00480DA8"/>
    <w:rsid w:val="004829FE"/>
    <w:rsid w:val="00483625"/>
    <w:rsid w:val="004854F8"/>
    <w:rsid w:val="0048572B"/>
    <w:rsid w:val="004871B3"/>
    <w:rsid w:val="00487807"/>
    <w:rsid w:val="00487944"/>
    <w:rsid w:val="00490153"/>
    <w:rsid w:val="004908D4"/>
    <w:rsid w:val="00492522"/>
    <w:rsid w:val="00492CAF"/>
    <w:rsid w:val="00494561"/>
    <w:rsid w:val="00495F6A"/>
    <w:rsid w:val="00496E0E"/>
    <w:rsid w:val="004A1723"/>
    <w:rsid w:val="004A1D57"/>
    <w:rsid w:val="004A2462"/>
    <w:rsid w:val="004A2A46"/>
    <w:rsid w:val="004A5050"/>
    <w:rsid w:val="004A7384"/>
    <w:rsid w:val="004A7843"/>
    <w:rsid w:val="004B329E"/>
    <w:rsid w:val="004B35BC"/>
    <w:rsid w:val="004B3E8D"/>
    <w:rsid w:val="004B50AE"/>
    <w:rsid w:val="004B5691"/>
    <w:rsid w:val="004B757F"/>
    <w:rsid w:val="004C0183"/>
    <w:rsid w:val="004C0761"/>
    <w:rsid w:val="004C280F"/>
    <w:rsid w:val="004C468D"/>
    <w:rsid w:val="004C554B"/>
    <w:rsid w:val="004C753E"/>
    <w:rsid w:val="004C7E89"/>
    <w:rsid w:val="004D3AE0"/>
    <w:rsid w:val="004D5110"/>
    <w:rsid w:val="004D5FF2"/>
    <w:rsid w:val="004E06E9"/>
    <w:rsid w:val="004E197E"/>
    <w:rsid w:val="004E2C11"/>
    <w:rsid w:val="004E2E25"/>
    <w:rsid w:val="004E58D2"/>
    <w:rsid w:val="004F07E5"/>
    <w:rsid w:val="004F0B11"/>
    <w:rsid w:val="004F0D4F"/>
    <w:rsid w:val="004F0F57"/>
    <w:rsid w:val="004F21B9"/>
    <w:rsid w:val="004F2470"/>
    <w:rsid w:val="004F2D29"/>
    <w:rsid w:val="004F38B8"/>
    <w:rsid w:val="004F3C75"/>
    <w:rsid w:val="004F7A38"/>
    <w:rsid w:val="0050137C"/>
    <w:rsid w:val="005017BA"/>
    <w:rsid w:val="0050191F"/>
    <w:rsid w:val="00502117"/>
    <w:rsid w:val="00503688"/>
    <w:rsid w:val="005038F5"/>
    <w:rsid w:val="00503EE0"/>
    <w:rsid w:val="00504EE0"/>
    <w:rsid w:val="0050535B"/>
    <w:rsid w:val="005074B6"/>
    <w:rsid w:val="005104BB"/>
    <w:rsid w:val="00511841"/>
    <w:rsid w:val="005126A4"/>
    <w:rsid w:val="00513F6F"/>
    <w:rsid w:val="00515ECB"/>
    <w:rsid w:val="00520331"/>
    <w:rsid w:val="00521B6A"/>
    <w:rsid w:val="0052234D"/>
    <w:rsid w:val="00523217"/>
    <w:rsid w:val="00526159"/>
    <w:rsid w:val="00527D19"/>
    <w:rsid w:val="00530312"/>
    <w:rsid w:val="00530783"/>
    <w:rsid w:val="00530CAA"/>
    <w:rsid w:val="00531BD7"/>
    <w:rsid w:val="00534D2C"/>
    <w:rsid w:val="00536044"/>
    <w:rsid w:val="00536B89"/>
    <w:rsid w:val="00536CE1"/>
    <w:rsid w:val="00537533"/>
    <w:rsid w:val="005401AF"/>
    <w:rsid w:val="00540586"/>
    <w:rsid w:val="005417CD"/>
    <w:rsid w:val="00542D7E"/>
    <w:rsid w:val="005438C6"/>
    <w:rsid w:val="00547F83"/>
    <w:rsid w:val="00551421"/>
    <w:rsid w:val="005535E3"/>
    <w:rsid w:val="00554930"/>
    <w:rsid w:val="00554CC3"/>
    <w:rsid w:val="00556A53"/>
    <w:rsid w:val="005578DD"/>
    <w:rsid w:val="00557BF4"/>
    <w:rsid w:val="005607C4"/>
    <w:rsid w:val="00560DD5"/>
    <w:rsid w:val="00562B98"/>
    <w:rsid w:val="0056434A"/>
    <w:rsid w:val="00565784"/>
    <w:rsid w:val="005660B4"/>
    <w:rsid w:val="0056695E"/>
    <w:rsid w:val="00570790"/>
    <w:rsid w:val="005720BF"/>
    <w:rsid w:val="00572D8A"/>
    <w:rsid w:val="00572E71"/>
    <w:rsid w:val="005736E3"/>
    <w:rsid w:val="005737EC"/>
    <w:rsid w:val="00573AC7"/>
    <w:rsid w:val="00575829"/>
    <w:rsid w:val="005803CD"/>
    <w:rsid w:val="005816FC"/>
    <w:rsid w:val="00581869"/>
    <w:rsid w:val="00581F9B"/>
    <w:rsid w:val="00583B84"/>
    <w:rsid w:val="0058430F"/>
    <w:rsid w:val="00584916"/>
    <w:rsid w:val="00584C2C"/>
    <w:rsid w:val="005856C6"/>
    <w:rsid w:val="005861B6"/>
    <w:rsid w:val="00593262"/>
    <w:rsid w:val="005943CB"/>
    <w:rsid w:val="00594456"/>
    <w:rsid w:val="00594D9A"/>
    <w:rsid w:val="00595263"/>
    <w:rsid w:val="005A031D"/>
    <w:rsid w:val="005A06D4"/>
    <w:rsid w:val="005A185B"/>
    <w:rsid w:val="005A2798"/>
    <w:rsid w:val="005A3617"/>
    <w:rsid w:val="005A384F"/>
    <w:rsid w:val="005A56A4"/>
    <w:rsid w:val="005A6341"/>
    <w:rsid w:val="005A6511"/>
    <w:rsid w:val="005A6EB7"/>
    <w:rsid w:val="005A7B5B"/>
    <w:rsid w:val="005B3518"/>
    <w:rsid w:val="005B41CA"/>
    <w:rsid w:val="005B71FB"/>
    <w:rsid w:val="005C1A32"/>
    <w:rsid w:val="005C1B2E"/>
    <w:rsid w:val="005C21FA"/>
    <w:rsid w:val="005C6C51"/>
    <w:rsid w:val="005D0D3F"/>
    <w:rsid w:val="005D112C"/>
    <w:rsid w:val="005D1834"/>
    <w:rsid w:val="005D28B7"/>
    <w:rsid w:val="005D53B6"/>
    <w:rsid w:val="005D6D7E"/>
    <w:rsid w:val="005D725E"/>
    <w:rsid w:val="005E5820"/>
    <w:rsid w:val="005E624A"/>
    <w:rsid w:val="005F324E"/>
    <w:rsid w:val="005F4B6C"/>
    <w:rsid w:val="005F4E97"/>
    <w:rsid w:val="005F6F31"/>
    <w:rsid w:val="005F7D60"/>
    <w:rsid w:val="006014B6"/>
    <w:rsid w:val="00601936"/>
    <w:rsid w:val="0060228B"/>
    <w:rsid w:val="0060434F"/>
    <w:rsid w:val="00604858"/>
    <w:rsid w:val="006050EE"/>
    <w:rsid w:val="006051A3"/>
    <w:rsid w:val="006053DE"/>
    <w:rsid w:val="0060618D"/>
    <w:rsid w:val="00611099"/>
    <w:rsid w:val="00612D8D"/>
    <w:rsid w:val="00614724"/>
    <w:rsid w:val="00615D54"/>
    <w:rsid w:val="00616684"/>
    <w:rsid w:val="00617974"/>
    <w:rsid w:val="006211BC"/>
    <w:rsid w:val="006222B0"/>
    <w:rsid w:val="00624399"/>
    <w:rsid w:val="006250FB"/>
    <w:rsid w:val="00626214"/>
    <w:rsid w:val="00626273"/>
    <w:rsid w:val="00626E96"/>
    <w:rsid w:val="006278C0"/>
    <w:rsid w:val="00631E30"/>
    <w:rsid w:val="00633253"/>
    <w:rsid w:val="006343B2"/>
    <w:rsid w:val="00634978"/>
    <w:rsid w:val="006349AE"/>
    <w:rsid w:val="00634F83"/>
    <w:rsid w:val="006351A2"/>
    <w:rsid w:val="00635656"/>
    <w:rsid w:val="00635C86"/>
    <w:rsid w:val="00637636"/>
    <w:rsid w:val="00641E93"/>
    <w:rsid w:val="00644A8B"/>
    <w:rsid w:val="00647D86"/>
    <w:rsid w:val="00652006"/>
    <w:rsid w:val="0065246C"/>
    <w:rsid w:val="0065549B"/>
    <w:rsid w:val="00661D55"/>
    <w:rsid w:val="006651FC"/>
    <w:rsid w:val="00665241"/>
    <w:rsid w:val="00665277"/>
    <w:rsid w:val="006655A4"/>
    <w:rsid w:val="006664DF"/>
    <w:rsid w:val="00667719"/>
    <w:rsid w:val="00671C60"/>
    <w:rsid w:val="00672E7A"/>
    <w:rsid w:val="006736ED"/>
    <w:rsid w:val="00673DC6"/>
    <w:rsid w:val="00674C23"/>
    <w:rsid w:val="00675241"/>
    <w:rsid w:val="00675D68"/>
    <w:rsid w:val="00676FF0"/>
    <w:rsid w:val="00677C85"/>
    <w:rsid w:val="00680748"/>
    <w:rsid w:val="00680AF7"/>
    <w:rsid w:val="00681CD4"/>
    <w:rsid w:val="006827E4"/>
    <w:rsid w:val="006839D2"/>
    <w:rsid w:val="006851AB"/>
    <w:rsid w:val="006867F9"/>
    <w:rsid w:val="00686948"/>
    <w:rsid w:val="00691CC4"/>
    <w:rsid w:val="00691F10"/>
    <w:rsid w:val="0069273F"/>
    <w:rsid w:val="00693BED"/>
    <w:rsid w:val="006942F4"/>
    <w:rsid w:val="006950B9"/>
    <w:rsid w:val="00695779"/>
    <w:rsid w:val="00695965"/>
    <w:rsid w:val="006960B5"/>
    <w:rsid w:val="006A1B9F"/>
    <w:rsid w:val="006A3251"/>
    <w:rsid w:val="006A3E2C"/>
    <w:rsid w:val="006A5CF6"/>
    <w:rsid w:val="006A7B8B"/>
    <w:rsid w:val="006B03E4"/>
    <w:rsid w:val="006B04CE"/>
    <w:rsid w:val="006B17E1"/>
    <w:rsid w:val="006B3540"/>
    <w:rsid w:val="006B4C68"/>
    <w:rsid w:val="006B53E2"/>
    <w:rsid w:val="006B5478"/>
    <w:rsid w:val="006C0080"/>
    <w:rsid w:val="006C1C1B"/>
    <w:rsid w:val="006C1DD6"/>
    <w:rsid w:val="006C3518"/>
    <w:rsid w:val="006C3FD7"/>
    <w:rsid w:val="006C44E9"/>
    <w:rsid w:val="006C4C77"/>
    <w:rsid w:val="006C7539"/>
    <w:rsid w:val="006D1BF1"/>
    <w:rsid w:val="006D34BA"/>
    <w:rsid w:val="006D374D"/>
    <w:rsid w:val="006D3FDB"/>
    <w:rsid w:val="006D658C"/>
    <w:rsid w:val="006E18CB"/>
    <w:rsid w:val="006E282A"/>
    <w:rsid w:val="006E3482"/>
    <w:rsid w:val="006E4DEC"/>
    <w:rsid w:val="006E54E8"/>
    <w:rsid w:val="006E59B8"/>
    <w:rsid w:val="006E5F96"/>
    <w:rsid w:val="006E6627"/>
    <w:rsid w:val="006E67EA"/>
    <w:rsid w:val="006F04ED"/>
    <w:rsid w:val="006F0A51"/>
    <w:rsid w:val="006F255E"/>
    <w:rsid w:val="006F354E"/>
    <w:rsid w:val="006F3D64"/>
    <w:rsid w:val="006F5D4E"/>
    <w:rsid w:val="006F647A"/>
    <w:rsid w:val="006F657F"/>
    <w:rsid w:val="006F746C"/>
    <w:rsid w:val="006F7A4C"/>
    <w:rsid w:val="00702AC5"/>
    <w:rsid w:val="00704FE4"/>
    <w:rsid w:val="00705DFE"/>
    <w:rsid w:val="00713DB8"/>
    <w:rsid w:val="00715514"/>
    <w:rsid w:val="0071598D"/>
    <w:rsid w:val="00715B36"/>
    <w:rsid w:val="007164AA"/>
    <w:rsid w:val="007172F1"/>
    <w:rsid w:val="00720AF1"/>
    <w:rsid w:val="00720EDD"/>
    <w:rsid w:val="00721618"/>
    <w:rsid w:val="00721F36"/>
    <w:rsid w:val="00722B5D"/>
    <w:rsid w:val="007252EE"/>
    <w:rsid w:val="00725EA1"/>
    <w:rsid w:val="00726887"/>
    <w:rsid w:val="00726A4A"/>
    <w:rsid w:val="007333B9"/>
    <w:rsid w:val="00733B6F"/>
    <w:rsid w:val="0073427D"/>
    <w:rsid w:val="00740EAC"/>
    <w:rsid w:val="007412C3"/>
    <w:rsid w:val="0074344B"/>
    <w:rsid w:val="00745E9A"/>
    <w:rsid w:val="00750EA1"/>
    <w:rsid w:val="00752484"/>
    <w:rsid w:val="007577DC"/>
    <w:rsid w:val="0076214F"/>
    <w:rsid w:val="00764377"/>
    <w:rsid w:val="007649B9"/>
    <w:rsid w:val="00767A38"/>
    <w:rsid w:val="00767BB1"/>
    <w:rsid w:val="00771668"/>
    <w:rsid w:val="00772BE1"/>
    <w:rsid w:val="007730F1"/>
    <w:rsid w:val="0077341A"/>
    <w:rsid w:val="007737B6"/>
    <w:rsid w:val="00774F22"/>
    <w:rsid w:val="00775A4F"/>
    <w:rsid w:val="00782307"/>
    <w:rsid w:val="00782F74"/>
    <w:rsid w:val="00783551"/>
    <w:rsid w:val="00784F23"/>
    <w:rsid w:val="007851FC"/>
    <w:rsid w:val="0078560A"/>
    <w:rsid w:val="00785BF8"/>
    <w:rsid w:val="00787012"/>
    <w:rsid w:val="00787544"/>
    <w:rsid w:val="00790CB6"/>
    <w:rsid w:val="00791DCE"/>
    <w:rsid w:val="0079226E"/>
    <w:rsid w:val="00793C28"/>
    <w:rsid w:val="00794935"/>
    <w:rsid w:val="00796005"/>
    <w:rsid w:val="007A05ED"/>
    <w:rsid w:val="007A27AA"/>
    <w:rsid w:val="007A45CE"/>
    <w:rsid w:val="007A55B0"/>
    <w:rsid w:val="007A6C54"/>
    <w:rsid w:val="007A6E48"/>
    <w:rsid w:val="007A705F"/>
    <w:rsid w:val="007B0DDC"/>
    <w:rsid w:val="007B11DD"/>
    <w:rsid w:val="007B2073"/>
    <w:rsid w:val="007B24CD"/>
    <w:rsid w:val="007B262D"/>
    <w:rsid w:val="007B5415"/>
    <w:rsid w:val="007C0902"/>
    <w:rsid w:val="007C0E6F"/>
    <w:rsid w:val="007C2B34"/>
    <w:rsid w:val="007C3E50"/>
    <w:rsid w:val="007C62EF"/>
    <w:rsid w:val="007C66DC"/>
    <w:rsid w:val="007C709C"/>
    <w:rsid w:val="007D0172"/>
    <w:rsid w:val="007D0F81"/>
    <w:rsid w:val="007D407D"/>
    <w:rsid w:val="007D4512"/>
    <w:rsid w:val="007D670D"/>
    <w:rsid w:val="007D7EA9"/>
    <w:rsid w:val="007E3F10"/>
    <w:rsid w:val="007E7D06"/>
    <w:rsid w:val="007F08FF"/>
    <w:rsid w:val="007F0D98"/>
    <w:rsid w:val="007F1CE6"/>
    <w:rsid w:val="007F2E0A"/>
    <w:rsid w:val="007F3814"/>
    <w:rsid w:val="007F4762"/>
    <w:rsid w:val="007F47CA"/>
    <w:rsid w:val="007F7CEF"/>
    <w:rsid w:val="008025A0"/>
    <w:rsid w:val="00802DDE"/>
    <w:rsid w:val="008032DD"/>
    <w:rsid w:val="0080435B"/>
    <w:rsid w:val="00804FD8"/>
    <w:rsid w:val="008052B0"/>
    <w:rsid w:val="00805D85"/>
    <w:rsid w:val="00806546"/>
    <w:rsid w:val="00810DB9"/>
    <w:rsid w:val="0081158B"/>
    <w:rsid w:val="008126F7"/>
    <w:rsid w:val="008138BD"/>
    <w:rsid w:val="00813FDE"/>
    <w:rsid w:val="008147E7"/>
    <w:rsid w:val="00814A8E"/>
    <w:rsid w:val="00817315"/>
    <w:rsid w:val="008206E2"/>
    <w:rsid w:val="0082146C"/>
    <w:rsid w:val="008217FB"/>
    <w:rsid w:val="008225C9"/>
    <w:rsid w:val="00822631"/>
    <w:rsid w:val="00822900"/>
    <w:rsid w:val="00824CBF"/>
    <w:rsid w:val="00826653"/>
    <w:rsid w:val="00827DE9"/>
    <w:rsid w:val="00841729"/>
    <w:rsid w:val="0084250C"/>
    <w:rsid w:val="008425D0"/>
    <w:rsid w:val="0084334C"/>
    <w:rsid w:val="00843642"/>
    <w:rsid w:val="00843E58"/>
    <w:rsid w:val="0084478E"/>
    <w:rsid w:val="00844A61"/>
    <w:rsid w:val="00846D79"/>
    <w:rsid w:val="00851368"/>
    <w:rsid w:val="00852869"/>
    <w:rsid w:val="00854867"/>
    <w:rsid w:val="00856274"/>
    <w:rsid w:val="00856558"/>
    <w:rsid w:val="00856DB6"/>
    <w:rsid w:val="008572F7"/>
    <w:rsid w:val="008573DE"/>
    <w:rsid w:val="00857F56"/>
    <w:rsid w:val="0086024D"/>
    <w:rsid w:val="00860487"/>
    <w:rsid w:val="008606E9"/>
    <w:rsid w:val="008613B8"/>
    <w:rsid w:val="008614E2"/>
    <w:rsid w:val="0086339E"/>
    <w:rsid w:val="00864921"/>
    <w:rsid w:val="00865BB4"/>
    <w:rsid w:val="0086736A"/>
    <w:rsid w:val="008674B6"/>
    <w:rsid w:val="008676F3"/>
    <w:rsid w:val="00871F8E"/>
    <w:rsid w:val="00872276"/>
    <w:rsid w:val="00873F89"/>
    <w:rsid w:val="00874162"/>
    <w:rsid w:val="00876268"/>
    <w:rsid w:val="008767E4"/>
    <w:rsid w:val="0087683D"/>
    <w:rsid w:val="00880DDF"/>
    <w:rsid w:val="00881271"/>
    <w:rsid w:val="00882C99"/>
    <w:rsid w:val="008871BE"/>
    <w:rsid w:val="00887F56"/>
    <w:rsid w:val="008909A1"/>
    <w:rsid w:val="00890DB2"/>
    <w:rsid w:val="0089240C"/>
    <w:rsid w:val="00892B7E"/>
    <w:rsid w:val="00895AF0"/>
    <w:rsid w:val="00895C97"/>
    <w:rsid w:val="0089639D"/>
    <w:rsid w:val="00896D79"/>
    <w:rsid w:val="00897D59"/>
    <w:rsid w:val="008A005F"/>
    <w:rsid w:val="008A159B"/>
    <w:rsid w:val="008A401F"/>
    <w:rsid w:val="008A689A"/>
    <w:rsid w:val="008A6E06"/>
    <w:rsid w:val="008A76A4"/>
    <w:rsid w:val="008B2D5E"/>
    <w:rsid w:val="008B37DF"/>
    <w:rsid w:val="008B3804"/>
    <w:rsid w:val="008B564C"/>
    <w:rsid w:val="008B6AC5"/>
    <w:rsid w:val="008C0CA6"/>
    <w:rsid w:val="008C1CF8"/>
    <w:rsid w:val="008C3587"/>
    <w:rsid w:val="008C45E1"/>
    <w:rsid w:val="008C4F77"/>
    <w:rsid w:val="008D11E6"/>
    <w:rsid w:val="008D16A4"/>
    <w:rsid w:val="008D3839"/>
    <w:rsid w:val="008D4015"/>
    <w:rsid w:val="008D4571"/>
    <w:rsid w:val="008D4DCD"/>
    <w:rsid w:val="008D4E10"/>
    <w:rsid w:val="008D5677"/>
    <w:rsid w:val="008D6489"/>
    <w:rsid w:val="008D7010"/>
    <w:rsid w:val="008D7F12"/>
    <w:rsid w:val="008E0238"/>
    <w:rsid w:val="008E09E7"/>
    <w:rsid w:val="008E1598"/>
    <w:rsid w:val="008E4093"/>
    <w:rsid w:val="008E4468"/>
    <w:rsid w:val="008E4DEC"/>
    <w:rsid w:val="008E4F2B"/>
    <w:rsid w:val="008E55AE"/>
    <w:rsid w:val="008E6929"/>
    <w:rsid w:val="008E69BF"/>
    <w:rsid w:val="008E7C9B"/>
    <w:rsid w:val="008E7DE7"/>
    <w:rsid w:val="008F1EF5"/>
    <w:rsid w:val="008F27CE"/>
    <w:rsid w:val="008F38C7"/>
    <w:rsid w:val="008F3C4D"/>
    <w:rsid w:val="00900C1A"/>
    <w:rsid w:val="009052FB"/>
    <w:rsid w:val="009070F0"/>
    <w:rsid w:val="00907D17"/>
    <w:rsid w:val="00910F15"/>
    <w:rsid w:val="00915EEF"/>
    <w:rsid w:val="009170F7"/>
    <w:rsid w:val="00920686"/>
    <w:rsid w:val="00921681"/>
    <w:rsid w:val="00921962"/>
    <w:rsid w:val="00922425"/>
    <w:rsid w:val="00923FC9"/>
    <w:rsid w:val="00926242"/>
    <w:rsid w:val="009273EC"/>
    <w:rsid w:val="009320FA"/>
    <w:rsid w:val="009342CC"/>
    <w:rsid w:val="009367E2"/>
    <w:rsid w:val="00937F69"/>
    <w:rsid w:val="0094223C"/>
    <w:rsid w:val="00942F2E"/>
    <w:rsid w:val="00945544"/>
    <w:rsid w:val="00945A9B"/>
    <w:rsid w:val="00945C87"/>
    <w:rsid w:val="00947080"/>
    <w:rsid w:val="009509E9"/>
    <w:rsid w:val="00950A71"/>
    <w:rsid w:val="00950C03"/>
    <w:rsid w:val="009523EE"/>
    <w:rsid w:val="009525E5"/>
    <w:rsid w:val="00952A72"/>
    <w:rsid w:val="00955E6F"/>
    <w:rsid w:val="00955FBB"/>
    <w:rsid w:val="00956692"/>
    <w:rsid w:val="00957DF4"/>
    <w:rsid w:val="00960C1E"/>
    <w:rsid w:val="00960E2D"/>
    <w:rsid w:val="009623C7"/>
    <w:rsid w:val="00964535"/>
    <w:rsid w:val="00966717"/>
    <w:rsid w:val="009704E5"/>
    <w:rsid w:val="009707C5"/>
    <w:rsid w:val="00970E29"/>
    <w:rsid w:val="0097274B"/>
    <w:rsid w:val="009735E6"/>
    <w:rsid w:val="00973B58"/>
    <w:rsid w:val="00973DB7"/>
    <w:rsid w:val="009745FE"/>
    <w:rsid w:val="00975B3E"/>
    <w:rsid w:val="00975EE0"/>
    <w:rsid w:val="00976110"/>
    <w:rsid w:val="009763B7"/>
    <w:rsid w:val="00977A94"/>
    <w:rsid w:val="009813A9"/>
    <w:rsid w:val="009815CD"/>
    <w:rsid w:val="00981EAD"/>
    <w:rsid w:val="00981EBA"/>
    <w:rsid w:val="0098301A"/>
    <w:rsid w:val="0098781B"/>
    <w:rsid w:val="0099006D"/>
    <w:rsid w:val="00994EB9"/>
    <w:rsid w:val="00995920"/>
    <w:rsid w:val="00996B5E"/>
    <w:rsid w:val="009A2FD9"/>
    <w:rsid w:val="009A38B6"/>
    <w:rsid w:val="009A59F3"/>
    <w:rsid w:val="009A68A0"/>
    <w:rsid w:val="009B202B"/>
    <w:rsid w:val="009B3B58"/>
    <w:rsid w:val="009B3C01"/>
    <w:rsid w:val="009B42BB"/>
    <w:rsid w:val="009B5E8F"/>
    <w:rsid w:val="009B6C74"/>
    <w:rsid w:val="009B73F1"/>
    <w:rsid w:val="009C2327"/>
    <w:rsid w:val="009C38E1"/>
    <w:rsid w:val="009C482A"/>
    <w:rsid w:val="009C6626"/>
    <w:rsid w:val="009C72D3"/>
    <w:rsid w:val="009C7430"/>
    <w:rsid w:val="009D00D3"/>
    <w:rsid w:val="009D05DF"/>
    <w:rsid w:val="009D1AE9"/>
    <w:rsid w:val="009D2206"/>
    <w:rsid w:val="009D325B"/>
    <w:rsid w:val="009D36DA"/>
    <w:rsid w:val="009D3BAC"/>
    <w:rsid w:val="009D45B8"/>
    <w:rsid w:val="009D4FE9"/>
    <w:rsid w:val="009D594F"/>
    <w:rsid w:val="009D5D10"/>
    <w:rsid w:val="009D624F"/>
    <w:rsid w:val="009D63B0"/>
    <w:rsid w:val="009D694A"/>
    <w:rsid w:val="009E0C7F"/>
    <w:rsid w:val="009E1997"/>
    <w:rsid w:val="009E2CC7"/>
    <w:rsid w:val="009E4092"/>
    <w:rsid w:val="009E65DD"/>
    <w:rsid w:val="009E6A84"/>
    <w:rsid w:val="009F1D78"/>
    <w:rsid w:val="009F2DBE"/>
    <w:rsid w:val="009F3CD6"/>
    <w:rsid w:val="009F4E4E"/>
    <w:rsid w:val="009F5289"/>
    <w:rsid w:val="009F5514"/>
    <w:rsid w:val="009F665C"/>
    <w:rsid w:val="00A0023F"/>
    <w:rsid w:val="00A015E5"/>
    <w:rsid w:val="00A06651"/>
    <w:rsid w:val="00A07979"/>
    <w:rsid w:val="00A12814"/>
    <w:rsid w:val="00A12E1E"/>
    <w:rsid w:val="00A13688"/>
    <w:rsid w:val="00A1423C"/>
    <w:rsid w:val="00A15540"/>
    <w:rsid w:val="00A16077"/>
    <w:rsid w:val="00A2102A"/>
    <w:rsid w:val="00A21160"/>
    <w:rsid w:val="00A216AA"/>
    <w:rsid w:val="00A2183E"/>
    <w:rsid w:val="00A2308A"/>
    <w:rsid w:val="00A236E1"/>
    <w:rsid w:val="00A253DC"/>
    <w:rsid w:val="00A25BCB"/>
    <w:rsid w:val="00A265CE"/>
    <w:rsid w:val="00A30227"/>
    <w:rsid w:val="00A30A91"/>
    <w:rsid w:val="00A3295F"/>
    <w:rsid w:val="00A33D1E"/>
    <w:rsid w:val="00A34D46"/>
    <w:rsid w:val="00A363B6"/>
    <w:rsid w:val="00A369A6"/>
    <w:rsid w:val="00A40368"/>
    <w:rsid w:val="00A40B7C"/>
    <w:rsid w:val="00A4284B"/>
    <w:rsid w:val="00A42A24"/>
    <w:rsid w:val="00A42C4C"/>
    <w:rsid w:val="00A43EB7"/>
    <w:rsid w:val="00A44FDC"/>
    <w:rsid w:val="00A45FEF"/>
    <w:rsid w:val="00A464AC"/>
    <w:rsid w:val="00A5008B"/>
    <w:rsid w:val="00A5173B"/>
    <w:rsid w:val="00A53367"/>
    <w:rsid w:val="00A54666"/>
    <w:rsid w:val="00A56195"/>
    <w:rsid w:val="00A56364"/>
    <w:rsid w:val="00A60422"/>
    <w:rsid w:val="00A60E51"/>
    <w:rsid w:val="00A63158"/>
    <w:rsid w:val="00A64DFC"/>
    <w:rsid w:val="00A7052E"/>
    <w:rsid w:val="00A7382F"/>
    <w:rsid w:val="00A73B8C"/>
    <w:rsid w:val="00A75277"/>
    <w:rsid w:val="00A752FE"/>
    <w:rsid w:val="00A810AB"/>
    <w:rsid w:val="00A82FE0"/>
    <w:rsid w:val="00A8431B"/>
    <w:rsid w:val="00A8482E"/>
    <w:rsid w:val="00A84C96"/>
    <w:rsid w:val="00A84F27"/>
    <w:rsid w:val="00A86496"/>
    <w:rsid w:val="00A86D92"/>
    <w:rsid w:val="00A87560"/>
    <w:rsid w:val="00A91ABA"/>
    <w:rsid w:val="00A91BE5"/>
    <w:rsid w:val="00A9535D"/>
    <w:rsid w:val="00A97002"/>
    <w:rsid w:val="00A97A29"/>
    <w:rsid w:val="00A97EE2"/>
    <w:rsid w:val="00AA0A98"/>
    <w:rsid w:val="00AA2025"/>
    <w:rsid w:val="00AA2334"/>
    <w:rsid w:val="00AA525B"/>
    <w:rsid w:val="00AA598D"/>
    <w:rsid w:val="00AA5AE7"/>
    <w:rsid w:val="00AA6759"/>
    <w:rsid w:val="00AA7092"/>
    <w:rsid w:val="00AA78DC"/>
    <w:rsid w:val="00AB0008"/>
    <w:rsid w:val="00AB041C"/>
    <w:rsid w:val="00AB1270"/>
    <w:rsid w:val="00AB262D"/>
    <w:rsid w:val="00AB64CF"/>
    <w:rsid w:val="00AB664E"/>
    <w:rsid w:val="00AB6C62"/>
    <w:rsid w:val="00AB7948"/>
    <w:rsid w:val="00AB7E17"/>
    <w:rsid w:val="00AC039F"/>
    <w:rsid w:val="00AC15FE"/>
    <w:rsid w:val="00AC5877"/>
    <w:rsid w:val="00AC679B"/>
    <w:rsid w:val="00AC6F02"/>
    <w:rsid w:val="00AC7AE7"/>
    <w:rsid w:val="00AD287A"/>
    <w:rsid w:val="00AD4328"/>
    <w:rsid w:val="00AD5B65"/>
    <w:rsid w:val="00AD6239"/>
    <w:rsid w:val="00AD6388"/>
    <w:rsid w:val="00AD75A9"/>
    <w:rsid w:val="00AD777E"/>
    <w:rsid w:val="00AD7D57"/>
    <w:rsid w:val="00AD7E03"/>
    <w:rsid w:val="00AD7F25"/>
    <w:rsid w:val="00AE224C"/>
    <w:rsid w:val="00AE3650"/>
    <w:rsid w:val="00AE4853"/>
    <w:rsid w:val="00AE5B27"/>
    <w:rsid w:val="00AE610D"/>
    <w:rsid w:val="00AE6801"/>
    <w:rsid w:val="00AE6E53"/>
    <w:rsid w:val="00AF0EAF"/>
    <w:rsid w:val="00AF1352"/>
    <w:rsid w:val="00AF1CA3"/>
    <w:rsid w:val="00AF1CEF"/>
    <w:rsid w:val="00AF24B4"/>
    <w:rsid w:val="00AF5886"/>
    <w:rsid w:val="00AF738F"/>
    <w:rsid w:val="00B007CA"/>
    <w:rsid w:val="00B01222"/>
    <w:rsid w:val="00B01292"/>
    <w:rsid w:val="00B0187F"/>
    <w:rsid w:val="00B03B5F"/>
    <w:rsid w:val="00B041F4"/>
    <w:rsid w:val="00B04BD3"/>
    <w:rsid w:val="00B070CE"/>
    <w:rsid w:val="00B1267E"/>
    <w:rsid w:val="00B12832"/>
    <w:rsid w:val="00B128B5"/>
    <w:rsid w:val="00B1307E"/>
    <w:rsid w:val="00B14EA7"/>
    <w:rsid w:val="00B16275"/>
    <w:rsid w:val="00B21369"/>
    <w:rsid w:val="00B22721"/>
    <w:rsid w:val="00B25B82"/>
    <w:rsid w:val="00B26F08"/>
    <w:rsid w:val="00B33732"/>
    <w:rsid w:val="00B33834"/>
    <w:rsid w:val="00B358FB"/>
    <w:rsid w:val="00B36132"/>
    <w:rsid w:val="00B366A0"/>
    <w:rsid w:val="00B40C82"/>
    <w:rsid w:val="00B42F80"/>
    <w:rsid w:val="00B458D2"/>
    <w:rsid w:val="00B477AA"/>
    <w:rsid w:val="00B57E44"/>
    <w:rsid w:val="00B62912"/>
    <w:rsid w:val="00B66AC5"/>
    <w:rsid w:val="00B70479"/>
    <w:rsid w:val="00B70A4C"/>
    <w:rsid w:val="00B72880"/>
    <w:rsid w:val="00B73637"/>
    <w:rsid w:val="00B73A57"/>
    <w:rsid w:val="00B750FA"/>
    <w:rsid w:val="00B77597"/>
    <w:rsid w:val="00B775A7"/>
    <w:rsid w:val="00B80D86"/>
    <w:rsid w:val="00B8119C"/>
    <w:rsid w:val="00B81535"/>
    <w:rsid w:val="00B835EA"/>
    <w:rsid w:val="00B839C8"/>
    <w:rsid w:val="00B86009"/>
    <w:rsid w:val="00B87DD9"/>
    <w:rsid w:val="00B92720"/>
    <w:rsid w:val="00B92AD3"/>
    <w:rsid w:val="00B92DA9"/>
    <w:rsid w:val="00B94097"/>
    <w:rsid w:val="00B96275"/>
    <w:rsid w:val="00B97B96"/>
    <w:rsid w:val="00BA0926"/>
    <w:rsid w:val="00BA19EA"/>
    <w:rsid w:val="00BA2F73"/>
    <w:rsid w:val="00BA329C"/>
    <w:rsid w:val="00BA38CD"/>
    <w:rsid w:val="00BA3E6D"/>
    <w:rsid w:val="00BA48F6"/>
    <w:rsid w:val="00BA6793"/>
    <w:rsid w:val="00BA7C08"/>
    <w:rsid w:val="00BB151C"/>
    <w:rsid w:val="00BB1A88"/>
    <w:rsid w:val="00BB1B23"/>
    <w:rsid w:val="00BB1F27"/>
    <w:rsid w:val="00BB30AB"/>
    <w:rsid w:val="00BB62A9"/>
    <w:rsid w:val="00BB7CA0"/>
    <w:rsid w:val="00BC14C9"/>
    <w:rsid w:val="00BC3EDC"/>
    <w:rsid w:val="00BC5D8D"/>
    <w:rsid w:val="00BC610B"/>
    <w:rsid w:val="00BC6403"/>
    <w:rsid w:val="00BD030B"/>
    <w:rsid w:val="00BD0F4E"/>
    <w:rsid w:val="00BD1C6C"/>
    <w:rsid w:val="00BD2469"/>
    <w:rsid w:val="00BD3554"/>
    <w:rsid w:val="00BD3719"/>
    <w:rsid w:val="00BD3C18"/>
    <w:rsid w:val="00BD4FFF"/>
    <w:rsid w:val="00BD5DCA"/>
    <w:rsid w:val="00BD6424"/>
    <w:rsid w:val="00BD7B4D"/>
    <w:rsid w:val="00BE1DCB"/>
    <w:rsid w:val="00BE2F66"/>
    <w:rsid w:val="00BE42B5"/>
    <w:rsid w:val="00BE4709"/>
    <w:rsid w:val="00BF06D9"/>
    <w:rsid w:val="00BF0A87"/>
    <w:rsid w:val="00BF1407"/>
    <w:rsid w:val="00BF25A0"/>
    <w:rsid w:val="00BF2649"/>
    <w:rsid w:val="00BF2D1A"/>
    <w:rsid w:val="00BF2DC2"/>
    <w:rsid w:val="00BF6419"/>
    <w:rsid w:val="00BF7A8C"/>
    <w:rsid w:val="00C01567"/>
    <w:rsid w:val="00C029B2"/>
    <w:rsid w:val="00C04F43"/>
    <w:rsid w:val="00C05B04"/>
    <w:rsid w:val="00C10594"/>
    <w:rsid w:val="00C11FA2"/>
    <w:rsid w:val="00C12AAF"/>
    <w:rsid w:val="00C13610"/>
    <w:rsid w:val="00C14A0C"/>
    <w:rsid w:val="00C14B7E"/>
    <w:rsid w:val="00C15387"/>
    <w:rsid w:val="00C16DF1"/>
    <w:rsid w:val="00C17326"/>
    <w:rsid w:val="00C21726"/>
    <w:rsid w:val="00C22435"/>
    <w:rsid w:val="00C22E4F"/>
    <w:rsid w:val="00C23973"/>
    <w:rsid w:val="00C24966"/>
    <w:rsid w:val="00C26E07"/>
    <w:rsid w:val="00C274F2"/>
    <w:rsid w:val="00C30CAB"/>
    <w:rsid w:val="00C316C3"/>
    <w:rsid w:val="00C31F6E"/>
    <w:rsid w:val="00C328ED"/>
    <w:rsid w:val="00C3346D"/>
    <w:rsid w:val="00C340E1"/>
    <w:rsid w:val="00C35260"/>
    <w:rsid w:val="00C355D8"/>
    <w:rsid w:val="00C36613"/>
    <w:rsid w:val="00C401DB"/>
    <w:rsid w:val="00C42AC6"/>
    <w:rsid w:val="00C42CC5"/>
    <w:rsid w:val="00C42E79"/>
    <w:rsid w:val="00C453CA"/>
    <w:rsid w:val="00C51AC5"/>
    <w:rsid w:val="00C523A4"/>
    <w:rsid w:val="00C52410"/>
    <w:rsid w:val="00C55BB0"/>
    <w:rsid w:val="00C55D58"/>
    <w:rsid w:val="00C56A08"/>
    <w:rsid w:val="00C61D7F"/>
    <w:rsid w:val="00C645A5"/>
    <w:rsid w:val="00C7734E"/>
    <w:rsid w:val="00C82706"/>
    <w:rsid w:val="00C82A59"/>
    <w:rsid w:val="00C837C8"/>
    <w:rsid w:val="00C87016"/>
    <w:rsid w:val="00C87017"/>
    <w:rsid w:val="00C8752A"/>
    <w:rsid w:val="00C87C09"/>
    <w:rsid w:val="00C910F4"/>
    <w:rsid w:val="00C92F15"/>
    <w:rsid w:val="00C93119"/>
    <w:rsid w:val="00C95248"/>
    <w:rsid w:val="00C95CB5"/>
    <w:rsid w:val="00C95E4E"/>
    <w:rsid w:val="00C95EDC"/>
    <w:rsid w:val="00C96108"/>
    <w:rsid w:val="00C97029"/>
    <w:rsid w:val="00C9717D"/>
    <w:rsid w:val="00C97429"/>
    <w:rsid w:val="00CA0A36"/>
    <w:rsid w:val="00CA0FB7"/>
    <w:rsid w:val="00CA13B1"/>
    <w:rsid w:val="00CA2F72"/>
    <w:rsid w:val="00CA3B94"/>
    <w:rsid w:val="00CA59DE"/>
    <w:rsid w:val="00CA5A05"/>
    <w:rsid w:val="00CA6A76"/>
    <w:rsid w:val="00CA7734"/>
    <w:rsid w:val="00CB0D81"/>
    <w:rsid w:val="00CB2C07"/>
    <w:rsid w:val="00CB399B"/>
    <w:rsid w:val="00CB4942"/>
    <w:rsid w:val="00CB78CF"/>
    <w:rsid w:val="00CC283E"/>
    <w:rsid w:val="00CC2DD1"/>
    <w:rsid w:val="00CC44E1"/>
    <w:rsid w:val="00CC51A1"/>
    <w:rsid w:val="00CC52F1"/>
    <w:rsid w:val="00CC5798"/>
    <w:rsid w:val="00CC59CB"/>
    <w:rsid w:val="00CC7632"/>
    <w:rsid w:val="00CD1DF0"/>
    <w:rsid w:val="00CD24C7"/>
    <w:rsid w:val="00CD2707"/>
    <w:rsid w:val="00CD2FE3"/>
    <w:rsid w:val="00CD4B5B"/>
    <w:rsid w:val="00CD63BE"/>
    <w:rsid w:val="00CD68B7"/>
    <w:rsid w:val="00CD7B3C"/>
    <w:rsid w:val="00CD7D80"/>
    <w:rsid w:val="00CD7E5D"/>
    <w:rsid w:val="00CE0E1C"/>
    <w:rsid w:val="00CE5873"/>
    <w:rsid w:val="00CF13F0"/>
    <w:rsid w:val="00CF14E7"/>
    <w:rsid w:val="00CF2DCA"/>
    <w:rsid w:val="00CF57D1"/>
    <w:rsid w:val="00CF6310"/>
    <w:rsid w:val="00CF6C2D"/>
    <w:rsid w:val="00D0135E"/>
    <w:rsid w:val="00D02360"/>
    <w:rsid w:val="00D03D94"/>
    <w:rsid w:val="00D0446D"/>
    <w:rsid w:val="00D04DEE"/>
    <w:rsid w:val="00D07407"/>
    <w:rsid w:val="00D07814"/>
    <w:rsid w:val="00D07D6B"/>
    <w:rsid w:val="00D111F9"/>
    <w:rsid w:val="00D125AA"/>
    <w:rsid w:val="00D14746"/>
    <w:rsid w:val="00D151B2"/>
    <w:rsid w:val="00D16B2B"/>
    <w:rsid w:val="00D20D36"/>
    <w:rsid w:val="00D223AB"/>
    <w:rsid w:val="00D22E25"/>
    <w:rsid w:val="00D23658"/>
    <w:rsid w:val="00D26858"/>
    <w:rsid w:val="00D27FF6"/>
    <w:rsid w:val="00D30F38"/>
    <w:rsid w:val="00D3279E"/>
    <w:rsid w:val="00D337A8"/>
    <w:rsid w:val="00D33EC8"/>
    <w:rsid w:val="00D435FD"/>
    <w:rsid w:val="00D4437B"/>
    <w:rsid w:val="00D4548E"/>
    <w:rsid w:val="00D46D9A"/>
    <w:rsid w:val="00D46DA1"/>
    <w:rsid w:val="00D47A86"/>
    <w:rsid w:val="00D50962"/>
    <w:rsid w:val="00D50E02"/>
    <w:rsid w:val="00D51A79"/>
    <w:rsid w:val="00D5234C"/>
    <w:rsid w:val="00D53996"/>
    <w:rsid w:val="00D53C0D"/>
    <w:rsid w:val="00D53DD9"/>
    <w:rsid w:val="00D568D5"/>
    <w:rsid w:val="00D621DB"/>
    <w:rsid w:val="00D62EAF"/>
    <w:rsid w:val="00D636DA"/>
    <w:rsid w:val="00D63869"/>
    <w:rsid w:val="00D639C6"/>
    <w:rsid w:val="00D65B4D"/>
    <w:rsid w:val="00D65EE9"/>
    <w:rsid w:val="00D65FAE"/>
    <w:rsid w:val="00D66059"/>
    <w:rsid w:val="00D66A92"/>
    <w:rsid w:val="00D67E91"/>
    <w:rsid w:val="00D70818"/>
    <w:rsid w:val="00D71190"/>
    <w:rsid w:val="00D7124E"/>
    <w:rsid w:val="00D7136A"/>
    <w:rsid w:val="00D71CE0"/>
    <w:rsid w:val="00D721AE"/>
    <w:rsid w:val="00D72BDE"/>
    <w:rsid w:val="00D733A5"/>
    <w:rsid w:val="00D74192"/>
    <w:rsid w:val="00D75577"/>
    <w:rsid w:val="00D80814"/>
    <w:rsid w:val="00D81723"/>
    <w:rsid w:val="00D825C6"/>
    <w:rsid w:val="00D85693"/>
    <w:rsid w:val="00D90CB1"/>
    <w:rsid w:val="00D9157D"/>
    <w:rsid w:val="00D91A19"/>
    <w:rsid w:val="00D930B8"/>
    <w:rsid w:val="00D94546"/>
    <w:rsid w:val="00D975BC"/>
    <w:rsid w:val="00D97E54"/>
    <w:rsid w:val="00DA034F"/>
    <w:rsid w:val="00DA1500"/>
    <w:rsid w:val="00DA1B60"/>
    <w:rsid w:val="00DA3582"/>
    <w:rsid w:val="00DA44F1"/>
    <w:rsid w:val="00DB1161"/>
    <w:rsid w:val="00DB2061"/>
    <w:rsid w:val="00DB384C"/>
    <w:rsid w:val="00DB3B2C"/>
    <w:rsid w:val="00DB3E90"/>
    <w:rsid w:val="00DB618B"/>
    <w:rsid w:val="00DB6B1B"/>
    <w:rsid w:val="00DB79FD"/>
    <w:rsid w:val="00DB7C9F"/>
    <w:rsid w:val="00DC0303"/>
    <w:rsid w:val="00DC43B1"/>
    <w:rsid w:val="00DC6BB7"/>
    <w:rsid w:val="00DC7212"/>
    <w:rsid w:val="00DD10BA"/>
    <w:rsid w:val="00DD2A3A"/>
    <w:rsid w:val="00DD399E"/>
    <w:rsid w:val="00DD49F6"/>
    <w:rsid w:val="00DD49F9"/>
    <w:rsid w:val="00DD579C"/>
    <w:rsid w:val="00DD57EA"/>
    <w:rsid w:val="00DD7280"/>
    <w:rsid w:val="00DE4AD6"/>
    <w:rsid w:val="00DE4FFC"/>
    <w:rsid w:val="00DE507C"/>
    <w:rsid w:val="00DE5D54"/>
    <w:rsid w:val="00DE6C1C"/>
    <w:rsid w:val="00DF0AAB"/>
    <w:rsid w:val="00DF12D7"/>
    <w:rsid w:val="00DF3B5B"/>
    <w:rsid w:val="00DF405D"/>
    <w:rsid w:val="00DF5C82"/>
    <w:rsid w:val="00DF6275"/>
    <w:rsid w:val="00DF76EB"/>
    <w:rsid w:val="00DF7A02"/>
    <w:rsid w:val="00DF7C6D"/>
    <w:rsid w:val="00E0213D"/>
    <w:rsid w:val="00E04978"/>
    <w:rsid w:val="00E04FEC"/>
    <w:rsid w:val="00E10961"/>
    <w:rsid w:val="00E10DA6"/>
    <w:rsid w:val="00E1161A"/>
    <w:rsid w:val="00E134F2"/>
    <w:rsid w:val="00E13D5D"/>
    <w:rsid w:val="00E140AF"/>
    <w:rsid w:val="00E15F22"/>
    <w:rsid w:val="00E16886"/>
    <w:rsid w:val="00E16CD5"/>
    <w:rsid w:val="00E16DAA"/>
    <w:rsid w:val="00E17072"/>
    <w:rsid w:val="00E17518"/>
    <w:rsid w:val="00E200AF"/>
    <w:rsid w:val="00E20477"/>
    <w:rsid w:val="00E20C21"/>
    <w:rsid w:val="00E219C8"/>
    <w:rsid w:val="00E236DD"/>
    <w:rsid w:val="00E263F0"/>
    <w:rsid w:val="00E2641F"/>
    <w:rsid w:val="00E272C2"/>
    <w:rsid w:val="00E27A71"/>
    <w:rsid w:val="00E306EA"/>
    <w:rsid w:val="00E32312"/>
    <w:rsid w:val="00E3662B"/>
    <w:rsid w:val="00E401D2"/>
    <w:rsid w:val="00E410E6"/>
    <w:rsid w:val="00E4156B"/>
    <w:rsid w:val="00E420F3"/>
    <w:rsid w:val="00E42E3C"/>
    <w:rsid w:val="00E44A79"/>
    <w:rsid w:val="00E44FFD"/>
    <w:rsid w:val="00E458E3"/>
    <w:rsid w:val="00E47A50"/>
    <w:rsid w:val="00E5039C"/>
    <w:rsid w:val="00E51C07"/>
    <w:rsid w:val="00E5218D"/>
    <w:rsid w:val="00E5368B"/>
    <w:rsid w:val="00E54255"/>
    <w:rsid w:val="00E54913"/>
    <w:rsid w:val="00E54CB6"/>
    <w:rsid w:val="00E56B7C"/>
    <w:rsid w:val="00E56CB4"/>
    <w:rsid w:val="00E6013A"/>
    <w:rsid w:val="00E620F4"/>
    <w:rsid w:val="00E62C9D"/>
    <w:rsid w:val="00E63917"/>
    <w:rsid w:val="00E65702"/>
    <w:rsid w:val="00E65EC3"/>
    <w:rsid w:val="00E67E5B"/>
    <w:rsid w:val="00E7106F"/>
    <w:rsid w:val="00E711DF"/>
    <w:rsid w:val="00E7152D"/>
    <w:rsid w:val="00E71AE3"/>
    <w:rsid w:val="00E72BB1"/>
    <w:rsid w:val="00E72C52"/>
    <w:rsid w:val="00E72F11"/>
    <w:rsid w:val="00E73A4D"/>
    <w:rsid w:val="00E7425D"/>
    <w:rsid w:val="00E74427"/>
    <w:rsid w:val="00E75EDD"/>
    <w:rsid w:val="00E76C43"/>
    <w:rsid w:val="00E76C6E"/>
    <w:rsid w:val="00E77C4C"/>
    <w:rsid w:val="00E77FDD"/>
    <w:rsid w:val="00E828D0"/>
    <w:rsid w:val="00E82FBD"/>
    <w:rsid w:val="00E8388E"/>
    <w:rsid w:val="00E87735"/>
    <w:rsid w:val="00E87FB4"/>
    <w:rsid w:val="00E91F38"/>
    <w:rsid w:val="00E9218C"/>
    <w:rsid w:val="00E92C46"/>
    <w:rsid w:val="00E93691"/>
    <w:rsid w:val="00E95C81"/>
    <w:rsid w:val="00E95F24"/>
    <w:rsid w:val="00E96DD1"/>
    <w:rsid w:val="00E96F5F"/>
    <w:rsid w:val="00E979D5"/>
    <w:rsid w:val="00E97F21"/>
    <w:rsid w:val="00EA011C"/>
    <w:rsid w:val="00EA159D"/>
    <w:rsid w:val="00EA199E"/>
    <w:rsid w:val="00EA30C7"/>
    <w:rsid w:val="00EA457D"/>
    <w:rsid w:val="00EA47C5"/>
    <w:rsid w:val="00EA5EF0"/>
    <w:rsid w:val="00EA7B76"/>
    <w:rsid w:val="00EB053E"/>
    <w:rsid w:val="00EB2906"/>
    <w:rsid w:val="00EB416C"/>
    <w:rsid w:val="00EB5750"/>
    <w:rsid w:val="00EB5BB6"/>
    <w:rsid w:val="00EB62FE"/>
    <w:rsid w:val="00EB6AAA"/>
    <w:rsid w:val="00EC0E29"/>
    <w:rsid w:val="00EC2250"/>
    <w:rsid w:val="00EC3831"/>
    <w:rsid w:val="00EC3E8A"/>
    <w:rsid w:val="00EC4018"/>
    <w:rsid w:val="00ED0068"/>
    <w:rsid w:val="00ED1207"/>
    <w:rsid w:val="00ED20CD"/>
    <w:rsid w:val="00ED430E"/>
    <w:rsid w:val="00ED5AEA"/>
    <w:rsid w:val="00EE0AA7"/>
    <w:rsid w:val="00EE2B21"/>
    <w:rsid w:val="00EE36DF"/>
    <w:rsid w:val="00EE3B18"/>
    <w:rsid w:val="00EE44EE"/>
    <w:rsid w:val="00EE47B8"/>
    <w:rsid w:val="00EF2866"/>
    <w:rsid w:val="00EF327A"/>
    <w:rsid w:val="00EF3550"/>
    <w:rsid w:val="00EF3B7E"/>
    <w:rsid w:val="00EF3DF0"/>
    <w:rsid w:val="00EF44AB"/>
    <w:rsid w:val="00EF48BD"/>
    <w:rsid w:val="00EF5B80"/>
    <w:rsid w:val="00EF5C44"/>
    <w:rsid w:val="00EF7421"/>
    <w:rsid w:val="00EF7523"/>
    <w:rsid w:val="00EF7804"/>
    <w:rsid w:val="00EF7C2C"/>
    <w:rsid w:val="00F0581A"/>
    <w:rsid w:val="00F06B34"/>
    <w:rsid w:val="00F12E7A"/>
    <w:rsid w:val="00F16C58"/>
    <w:rsid w:val="00F21166"/>
    <w:rsid w:val="00F23E23"/>
    <w:rsid w:val="00F24293"/>
    <w:rsid w:val="00F24602"/>
    <w:rsid w:val="00F26307"/>
    <w:rsid w:val="00F273F6"/>
    <w:rsid w:val="00F27D5A"/>
    <w:rsid w:val="00F31F75"/>
    <w:rsid w:val="00F33010"/>
    <w:rsid w:val="00F33874"/>
    <w:rsid w:val="00F344BF"/>
    <w:rsid w:val="00F353A6"/>
    <w:rsid w:val="00F356CA"/>
    <w:rsid w:val="00F35881"/>
    <w:rsid w:val="00F35A5B"/>
    <w:rsid w:val="00F37AB4"/>
    <w:rsid w:val="00F4071A"/>
    <w:rsid w:val="00F43C57"/>
    <w:rsid w:val="00F43E42"/>
    <w:rsid w:val="00F44A8E"/>
    <w:rsid w:val="00F474E0"/>
    <w:rsid w:val="00F5101A"/>
    <w:rsid w:val="00F5270A"/>
    <w:rsid w:val="00F52A24"/>
    <w:rsid w:val="00F52DB8"/>
    <w:rsid w:val="00F6017C"/>
    <w:rsid w:val="00F60DD4"/>
    <w:rsid w:val="00F60E55"/>
    <w:rsid w:val="00F61C58"/>
    <w:rsid w:val="00F63DD9"/>
    <w:rsid w:val="00F654CA"/>
    <w:rsid w:val="00F7048F"/>
    <w:rsid w:val="00F70C15"/>
    <w:rsid w:val="00F70D0E"/>
    <w:rsid w:val="00F73787"/>
    <w:rsid w:val="00F739A9"/>
    <w:rsid w:val="00F73ACC"/>
    <w:rsid w:val="00F754EA"/>
    <w:rsid w:val="00F75BE5"/>
    <w:rsid w:val="00F80D78"/>
    <w:rsid w:val="00F840CC"/>
    <w:rsid w:val="00F8506D"/>
    <w:rsid w:val="00F8556F"/>
    <w:rsid w:val="00F85FA8"/>
    <w:rsid w:val="00F8657F"/>
    <w:rsid w:val="00F86815"/>
    <w:rsid w:val="00F86B59"/>
    <w:rsid w:val="00F86BA5"/>
    <w:rsid w:val="00F87F8C"/>
    <w:rsid w:val="00F91278"/>
    <w:rsid w:val="00F92EA8"/>
    <w:rsid w:val="00F93369"/>
    <w:rsid w:val="00F95C68"/>
    <w:rsid w:val="00F95E65"/>
    <w:rsid w:val="00F95EAD"/>
    <w:rsid w:val="00F963CF"/>
    <w:rsid w:val="00F9756F"/>
    <w:rsid w:val="00FA225D"/>
    <w:rsid w:val="00FA39D5"/>
    <w:rsid w:val="00FA42AD"/>
    <w:rsid w:val="00FA6989"/>
    <w:rsid w:val="00FB2D74"/>
    <w:rsid w:val="00FB307C"/>
    <w:rsid w:val="00FB45D0"/>
    <w:rsid w:val="00FB5507"/>
    <w:rsid w:val="00FB6031"/>
    <w:rsid w:val="00FB64FA"/>
    <w:rsid w:val="00FB7016"/>
    <w:rsid w:val="00FC002B"/>
    <w:rsid w:val="00FC077E"/>
    <w:rsid w:val="00FC1508"/>
    <w:rsid w:val="00FC1A14"/>
    <w:rsid w:val="00FC39B6"/>
    <w:rsid w:val="00FC72E9"/>
    <w:rsid w:val="00FD17DB"/>
    <w:rsid w:val="00FD1C84"/>
    <w:rsid w:val="00FD2D1F"/>
    <w:rsid w:val="00FD38CD"/>
    <w:rsid w:val="00FD3A31"/>
    <w:rsid w:val="00FD44E7"/>
    <w:rsid w:val="00FD4746"/>
    <w:rsid w:val="00FD5C28"/>
    <w:rsid w:val="00FD60AE"/>
    <w:rsid w:val="00FD6DD0"/>
    <w:rsid w:val="00FD71B1"/>
    <w:rsid w:val="00FD7857"/>
    <w:rsid w:val="00FE0FE7"/>
    <w:rsid w:val="00FE3504"/>
    <w:rsid w:val="00FE3DB8"/>
    <w:rsid w:val="00FE4024"/>
    <w:rsid w:val="00FE423B"/>
    <w:rsid w:val="00FE46B3"/>
    <w:rsid w:val="00FE48FC"/>
    <w:rsid w:val="00FE565F"/>
    <w:rsid w:val="00FE640A"/>
    <w:rsid w:val="00FE7B9C"/>
    <w:rsid w:val="00FE7BFD"/>
    <w:rsid w:val="00FE7FF6"/>
    <w:rsid w:val="00FF0DE4"/>
    <w:rsid w:val="00FF4908"/>
    <w:rsid w:val="00FF4B3D"/>
    <w:rsid w:val="00FF6799"/>
    <w:rsid w:val="00FF7519"/>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xmlns:v="urn:schemas-microsoft-com:vml" xmlns:o="urn:schemas-microsoft-com:office:office" spidmax="2049" v:ext="edit"/>
    <o:shapelayout xmlns:v="urn:schemas-microsoft-com:vml" xmlns:o="urn:schemas-microsoft-com:office:office" v:ext="edit">
      <o:idmap data="1" v:ext="edit"/>
    </o:shapelayout>
  </w:shapeDefaults>
  <w:decimalSymbol w:val="."/>
  <w:listSeparator w:val=","/>
  <w14:docId w14:val="5E0E7B5B"/>
  <w15:docId w15:val="{3850AFDC-FE58-4BD4-BB1D-0929AB773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lsdException w:name="toc 2" w:locked="1"/>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style>
  <w:style w:type="paragraph" w:styleId="Heading1">
    <w:name w:val="heading 1"/>
    <w:basedOn w:val="Normal"/>
    <w:next w:val="Normal"/>
    <w:link w:val="Heading1Char"/>
    <w:uiPriority w:val="99"/>
    <w:qFormat/>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locked/>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nhideWhenUsed/>
    <w:qFormat/>
    <w:locke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color w:val="365F91"/>
      <w:sz w:val="28"/>
      <w:szCs w:val="28"/>
    </w:rPr>
  </w:style>
  <w:style w:type="character" w:customStyle="1" w:styleId="Heading2Char">
    <w:name w:val="Heading 2 Char"/>
    <w:basedOn w:val="DefaultParagraphFont"/>
    <w:link w:val="Heading2"/>
    <w:uiPriority w:val="99"/>
    <w:semiHidden/>
    <w:locked/>
    <w:rPr>
      <w:rFonts w:ascii="Cambria" w:hAnsi="Cambria" w:cs="Times New Roman"/>
      <w:b/>
      <w:bCs/>
      <w:i/>
      <w:iCs/>
      <w:sz w:val="28"/>
      <w:szCs w:val="28"/>
    </w:rPr>
  </w:style>
  <w:style w:type="paragraph" w:styleId="TOC1">
    <w:name w:val="toc 1"/>
    <w:basedOn w:val="Normal"/>
    <w:next w:val="Normal"/>
    <w:autoRedefine/>
    <w:uiPriority w:val="99"/>
    <w:pPr>
      <w:spacing w:after="100"/>
    </w:pPr>
  </w:style>
  <w:style w:type="character" w:styleId="Hyperlink">
    <w:name w:val="Hyperlink"/>
    <w:basedOn w:val="DefaultParagraphFont"/>
    <w:uiPriority w:val="99"/>
    <w:rPr>
      <w:rFonts w:cs="Times New Roman"/>
      <w:color w:val="0000FF"/>
      <w:u w:val="single"/>
    </w:rPr>
  </w:style>
  <w:style w:type="table" w:styleId="TableGrid">
    <w:name w:val="Table Grid"/>
    <w:basedOn w:val="TableNormal"/>
    <w:uiPriority w:val="99"/>
    <w:locked/>
    <w:pPr>
      <w:spacing w:after="200" w:line="276" w:lineRule="auto"/>
    </w:pPr>
    <w:rPr>
      <w:rFonts w:eastAsia="Times New Roman"/>
      <w:sz w:val="20"/>
      <w:szCs w:val="20"/>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99"/>
    <w:qFormat/>
    <w:locked/>
    <w:pPr>
      <w:spacing w:after="0" w:line="240" w:lineRule="auto"/>
    </w:pPr>
    <w:rPr>
      <w:rFonts w:ascii="Times New Roman" w:hAnsi="Times New Roman"/>
      <w:b/>
      <w:bCs/>
      <w:sz w:val="20"/>
      <w:szCs w:val="20"/>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semiHidden/>
    <w:locked/>
    <w:rPr>
      <w:rFonts w:cs="Times New Roman"/>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semiHidden/>
    <w:locked/>
    <w:rPr>
      <w:rFonts w:cs="Times New Roman"/>
    </w:rPr>
  </w:style>
  <w:style w:type="character" w:styleId="PageNumber">
    <w:name w:val="page number"/>
    <w:basedOn w:val="DefaultParagraphFont"/>
    <w:uiPriority w:val="99"/>
    <w:rPr>
      <w:rFonts w:cs="Times New Roman"/>
    </w:rPr>
  </w:style>
  <w:style w:type="paragraph" w:styleId="TOC2">
    <w:name w:val="toc 2"/>
    <w:basedOn w:val="Normal"/>
    <w:next w:val="Normal"/>
    <w:autoRedefine/>
    <w:uiPriority w:val="99"/>
    <w:semiHidden/>
    <w:locked/>
    <w:pPr>
      <w:ind w:left="220"/>
    </w:pPr>
  </w:style>
  <w:style w:type="paragraph" w:styleId="DocumentMap">
    <w:name w:val="Document Map"/>
    <w:basedOn w:val="Normal"/>
    <w:link w:val="DocumentMapChar"/>
    <w:uiPriority w:val="99"/>
    <w:semiHidden/>
    <w:unhideWhenUsed/>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Pr>
      <w:rFonts w:ascii="Tahoma" w:hAnsi="Tahoma" w:cs="Tahoma"/>
      <w:sz w:val="16"/>
      <w:szCs w:val="16"/>
    </w:rPr>
  </w:style>
  <w:style w:type="paragraph" w:styleId="Revision">
    <w:name w:val="Revision"/>
    <w:hidden/>
    <w:uiPriority w:val="99"/>
    <w:semiHidden/>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character" w:styleId="Strong">
    <w:name w:val="Strong"/>
    <w:basedOn w:val="DefaultParagraphFont"/>
    <w:uiPriority w:val="22"/>
    <w:qFormat/>
    <w:locked/>
    <w:rPr>
      <w:b/>
      <w:bCs/>
    </w:r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character" w:customStyle="1" w:styleId="Heading3Char">
    <w:name w:val="Heading 3 Char"/>
    <w:basedOn w:val="DefaultParagraphFont"/>
    <w:link w:val="Heading3"/>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Relationships xmlns="http://schemas.openxmlformats.org/package/2006/relationships"><Relationship Target="header1.xml" Type="http://schemas.openxmlformats.org/officeDocument/2006/relationships/header" Id="rId8"></Relationship><Relationship Target="footer3.xml" Type="http://schemas.openxmlformats.org/officeDocument/2006/relationships/footer" Id="rId13"></Relationship><Relationship Target="header6.xml" Type="http://schemas.openxmlformats.org/officeDocument/2006/relationships/header" Id="rId18"></Relationship><Relationship Target="styles.xml" Type="http://schemas.openxmlformats.org/officeDocument/2006/relationships/styles" Id="rId3"></Relationship><Relationship Target="theme/theme1.xml" Type="http://schemas.openxmlformats.org/officeDocument/2006/relationships/theme" Id="rId21"></Relationship><Relationship Target="endnotes.xml" Type="http://schemas.openxmlformats.org/officeDocument/2006/relationships/endnotes" Id="rId7"></Relationship><Relationship Target="header3.xml" Type="http://schemas.openxmlformats.org/officeDocument/2006/relationships/header" Id="rId12"></Relationship><Relationship Target="footer5.xml" Type="http://schemas.openxmlformats.org/officeDocument/2006/relationships/footer" Id="rId17"></Relationship><Relationship Target="numbering.xml" Type="http://schemas.openxmlformats.org/officeDocument/2006/relationships/numbering" Id="rId2"></Relationship><Relationship Target="header5.xml" Type="http://schemas.openxmlformats.org/officeDocument/2006/relationships/header" Id="rId16"></Relationship><Relationship Target="fontTable.xml" Type="http://schemas.openxmlformats.org/officeDocument/2006/relationships/fontTable" Id="rId20"></Relationship><Relationship Target="../customXml/item1.xml" Type="http://schemas.openxmlformats.org/officeDocument/2006/relationships/customXml" Id="rId1"></Relationship><Relationship Target="footnotes.xml" Type="http://schemas.openxmlformats.org/officeDocument/2006/relationships/footnotes" Id="rId6"></Relationship><Relationship Target="footer2.xml" Type="http://schemas.openxmlformats.org/officeDocument/2006/relationships/footer" Id="rId11"></Relationship><Relationship Target="webSettings.xml" Type="http://schemas.openxmlformats.org/officeDocument/2006/relationships/webSettings" Id="rId5"></Relationship><Relationship Target="header4.xml" Type="http://schemas.openxmlformats.org/officeDocument/2006/relationships/header" Id="rId15"></Relationship><Relationship Target="footer1.xml" Type="http://schemas.openxmlformats.org/officeDocument/2006/relationships/footer" Id="rId10"></Relationship><Relationship Target="footer6.xml" Type="http://schemas.openxmlformats.org/officeDocument/2006/relationships/footer" Id="rId19"></Relationship><Relationship Target="settings.xml" Type="http://schemas.openxmlformats.org/officeDocument/2006/relationships/settings" Id="rId4"></Relationship><Relationship Target="header2.xml" Type="http://schemas.openxmlformats.org/officeDocument/2006/relationships/header" Id="rId9"></Relationship><Relationship Target="footer4.xml" Type="http://schemas.openxmlformats.org/officeDocument/2006/relationships/footer" Id="rId14"></Relationshi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Relationships xmlns="http://schemas.openxmlformats.org/package/2006/relationships"><Relationship Target="itemProps1.xml" Type="http://schemas.openxmlformats.org/officeDocument/2006/relationships/customXmlProps" Id="rId1"></Relationship></Relationships>
</file>

<file path=customXml/item1.xml><?xml version="1.0" encoding="utf-8"?>
<ns26:Sources xmlns:ns26="http://schemas.openxmlformats.org/officeDocument/2006/bibliography" SelectedStyle="\APA.XSL" StyleName="APA Fifth Edition"/>
</file>

<file path=customXml/itemProps1.xml><?xml version="1.0" encoding="utf-8"?>
<ds:datastoreItem xmlns:ds="http://schemas.openxmlformats.org/officeDocument/2006/customXml" ds:itemID="{D0DC316F-A435-464C-94BF-159DC3BD7A93}">
  <ds:schemaRefs>
    <ds:schemaRef ds:uri="http://schemas.openxmlformats.org/officeDocument/2006/bibliography"/>
  </ds:schemaRefs>
</ds:datastoreItem>
</file>

<file path=docProps/app.xml><?xml version="1.0" encoding="utf-8"?>
<properties:Properties xmlns:vt="http://schemas.openxmlformats.org/officeDocument/2006/docPropsVTypes" xmlns:properties="http://schemas.openxmlformats.org/officeDocument/2006/extended-properties">
  <properties:Template>Normal</properties:Template>
  <properties:Company>Microsoft</properties:Company>
  <properties:Pages>36</properties:Pages>
  <properties:Words>6682</properties:Words>
  <properties:Characters>38091</properties:Characters>
  <properties:Lines>317</properties:Lines>
  <properties:Paragraphs>89</properties:Paragraphs>
  <properties:TotalTime>108</properties:TotalTime>
  <properties:ScaleCrop>false</properties:ScaleCrop>
  <properties:HeadingPairs>
    <vt:vector baseType="variant" size="2">
      <vt:variant>
        <vt:lpstr>Title</vt:lpstr>
      </vt:variant>
      <vt:variant>
        <vt:i4>1</vt:i4>
      </vt:variant>
    </vt:vector>
  </properties:HeadingPairs>
  <properties:TitlesOfParts>
    <vt:vector baseType="lpstr" size="1">
      <vt:lpstr>AP</vt:lpstr>
    </vt:vector>
  </properties:TitlesOfParts>
  <properties:LinksUpToDate>false</properties:LinksUpToDate>
  <properties:CharactersWithSpaces>44684</properties:CharactersWithSpaces>
  <properties:SharedDoc>false</properties:SharedDoc>
  <properties:HyperlinksChanged>false</properties:HyperlinksChanged>
  <properties:Application>docx4j</properties:Application>
  <properties:AppVersion>2.7.1</properties:AppVersion>
  <properties:DocSecurity>0</properties:DocSecurity>
</properties:Properties>
</file>

<file path=docProps/core.xml><?xml version="1.0" encoding="utf-8"?>
<cp:coreProperties xmlns:cp="http://schemas.openxmlformats.org/package/2006/metadata/core-properties" xmlns:dcterms="http://purl.org/dc/terms/" xmlns:dc="http://purl.org/dc/elements/1.1/">
  <dcterms:created xmlns:xsi="http://www.w3.org/2001/XMLSchema-instance" xsi:type="dcterms:W3CDTF">2012-09-17T18:37:00Z</dcterms:created>
  <dc:creator>Rocio</dc:creator>
  <dc:description/>
  <cp:keywords/>
  <cp:lastModifiedBy>docx4j</cp:lastModifiedBy>
  <dcterms:modified xmlns:xsi="http://www.w3.org/2001/XMLSchema-instance" xsi:type="dcterms:W3CDTF">2020-09-28T14:43:00Z</dcterms:modified>
  <cp:revision>53</cp:revision>
  <dc:subject/>
  <dc:title>AP</dc:title>
</cp:coreProperties>
</file>